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54" w:rsidRDefault="00F3497C">
      <w:pP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附件</w:t>
      </w:r>
    </w:p>
    <w:p w:rsidR="00551E54" w:rsidRDefault="00551E54">
      <w:pPr>
        <w:jc w:val="center"/>
        <w:rPr>
          <w:rFonts w:ascii="方正小标宋简体" w:eastAsia="方正小标宋简体" w:hAnsi="方正小标宋简体" w:cs="方正小标宋简体"/>
          <w:sz w:val="44"/>
          <w:szCs w:val="44"/>
        </w:rPr>
      </w:pPr>
    </w:p>
    <w:p w:rsidR="00551E54" w:rsidRDefault="00F3497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w:t>
      </w:r>
      <w:r>
        <w:rPr>
          <w:rFonts w:ascii="方正小标宋简体" w:eastAsia="方正小标宋简体" w:hAnsi="方正小标宋简体" w:cs="方正小标宋简体" w:hint="eastAsia"/>
          <w:sz w:val="44"/>
          <w:szCs w:val="44"/>
        </w:rPr>
        <w:t>6</w:t>
      </w:r>
      <w:r>
        <w:rPr>
          <w:rFonts w:ascii="方正小标宋简体" w:eastAsia="方正小标宋简体" w:hAnsi="方正小标宋简体" w:cs="方正小标宋简体" w:hint="eastAsia"/>
          <w:sz w:val="44"/>
          <w:szCs w:val="44"/>
        </w:rPr>
        <w:t>年度云南省哲学社会科学教育科学</w:t>
      </w:r>
    </w:p>
    <w:p w:rsidR="00551E54" w:rsidRDefault="00F3497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规划项目课题指南</w:t>
      </w:r>
    </w:p>
    <w:p w:rsidR="00551E54" w:rsidRDefault="00551E54">
      <w:pPr>
        <w:spacing w:line="460" w:lineRule="exact"/>
        <w:jc w:val="center"/>
        <w:rPr>
          <w:rFonts w:ascii="宋体" w:hAnsi="宋体"/>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551E54">
      <w:pPr>
        <w:spacing w:line="460" w:lineRule="exact"/>
        <w:rPr>
          <w:rFonts w:ascii="方正仿宋_GBK" w:eastAsia="方正仿宋_GBK" w:hAnsi="方正仿宋_GBK" w:cs="方正仿宋_GBK"/>
          <w:sz w:val="28"/>
          <w:szCs w:val="28"/>
        </w:rPr>
      </w:pPr>
    </w:p>
    <w:p w:rsidR="00551E54" w:rsidRDefault="00F3497C">
      <w:pPr>
        <w:spacing w:line="460" w:lineRule="exact"/>
        <w:jc w:val="center"/>
        <w:rPr>
          <w:rFonts w:ascii="黑体" w:eastAsia="黑体" w:hAnsi="方正小标宋简体" w:cs="方正小标宋简体"/>
          <w:sz w:val="32"/>
          <w:szCs w:val="32"/>
        </w:rPr>
      </w:pPr>
      <w:r>
        <w:rPr>
          <w:rFonts w:ascii="黑体" w:eastAsia="黑体" w:hAnsi="方正小标宋简体" w:cs="方正小标宋简体" w:hint="eastAsia"/>
          <w:sz w:val="32"/>
          <w:szCs w:val="32"/>
        </w:rPr>
        <w:t>云南省教育科学规划领导小组办公室</w:t>
      </w:r>
    </w:p>
    <w:p w:rsidR="00551E54" w:rsidRDefault="00F3497C">
      <w:pPr>
        <w:spacing w:line="460" w:lineRule="exact"/>
        <w:jc w:val="center"/>
        <w:rPr>
          <w:rFonts w:eastAsia="黑体"/>
          <w:sz w:val="32"/>
          <w:szCs w:val="32"/>
        </w:rPr>
      </w:pPr>
      <w:r>
        <w:rPr>
          <w:rFonts w:eastAsia="黑体"/>
          <w:sz w:val="32"/>
          <w:szCs w:val="32"/>
        </w:rPr>
        <w:t>201</w:t>
      </w:r>
      <w:r>
        <w:rPr>
          <w:rFonts w:eastAsia="黑体" w:hint="eastAsia"/>
          <w:sz w:val="32"/>
          <w:szCs w:val="32"/>
        </w:rPr>
        <w:t>6</w:t>
      </w:r>
      <w:r>
        <w:rPr>
          <w:rFonts w:eastAsia="黑体"/>
          <w:sz w:val="32"/>
          <w:szCs w:val="32"/>
        </w:rPr>
        <w:t>年</w:t>
      </w:r>
      <w:r>
        <w:rPr>
          <w:rFonts w:eastAsia="黑体" w:hint="eastAsia"/>
          <w:sz w:val="32"/>
          <w:szCs w:val="32"/>
        </w:rPr>
        <w:t>6</w:t>
      </w:r>
      <w:r>
        <w:rPr>
          <w:rFonts w:eastAsia="黑体"/>
          <w:sz w:val="32"/>
          <w:szCs w:val="32"/>
        </w:rPr>
        <w:t>月</w:t>
      </w:r>
    </w:p>
    <w:p w:rsidR="00551E54" w:rsidRDefault="00551E54">
      <w:pPr>
        <w:rPr>
          <w:rFonts w:ascii="方正小标宋简体" w:eastAsia="方正小标宋简体" w:hAnsi="方正小标宋简体" w:cs="方正小标宋简体"/>
          <w:sz w:val="44"/>
          <w:szCs w:val="44"/>
        </w:rPr>
      </w:pPr>
    </w:p>
    <w:p w:rsidR="00551E54" w:rsidRDefault="00F3497C">
      <w:pPr>
        <w:jc w:val="center"/>
        <w:rPr>
          <w:rFonts w:ascii="方正小标宋简体" w:eastAsia="方正小标宋简体" w:hAnsi="方正仿宋_GBK" w:cs="方正仿宋_GBK"/>
          <w:sz w:val="44"/>
          <w:szCs w:val="44"/>
        </w:rPr>
      </w:pPr>
      <w:r>
        <w:rPr>
          <w:rFonts w:ascii="方正小标宋简体" w:eastAsia="方正小标宋简体" w:hAnsi="方正小标宋简体" w:cs="方正小标宋简体" w:hint="eastAsia"/>
          <w:sz w:val="44"/>
          <w:szCs w:val="44"/>
        </w:rPr>
        <w:lastRenderedPageBreak/>
        <w:t>申报说明</w:t>
      </w:r>
    </w:p>
    <w:p w:rsidR="00551E54" w:rsidRDefault="00F3497C">
      <w:pPr>
        <w:spacing w:line="53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申报云南省哲学社会科学教育科学规划项目的指导思想是全面贯彻落实党的十八大和十八届三中、四中、五中全会精神，高举中国特色社会主义伟大旗帜，以邓小平理论、“三个代表”重要思想、科学发展观为指导，深入贯彻习近平总书记系列重要讲话和考察云南重要讲话精神，以《国家中长期教育改革和发展规划纲要（</w:t>
      </w:r>
      <w:r>
        <w:rPr>
          <w:rFonts w:ascii="方正仿宋_GBK" w:eastAsia="方正仿宋_GBK" w:hAnsi="方正仿宋_GBK" w:cs="方正仿宋_GBK" w:hint="eastAsia"/>
          <w:kern w:val="0"/>
          <w:sz w:val="32"/>
          <w:szCs w:val="32"/>
        </w:rPr>
        <w:t>2010~2020</w:t>
      </w:r>
      <w:r>
        <w:rPr>
          <w:rFonts w:ascii="方正仿宋_GBK" w:eastAsia="方正仿宋_GBK" w:hAnsi="方正仿宋_GBK" w:cs="方正仿宋_GBK" w:hint="eastAsia"/>
          <w:kern w:val="0"/>
          <w:sz w:val="32"/>
          <w:szCs w:val="32"/>
        </w:rPr>
        <w:t>）》和《云南省中长期教育改革和发展规划纲要（</w:t>
      </w:r>
      <w:r>
        <w:rPr>
          <w:rFonts w:ascii="方正仿宋_GBK" w:eastAsia="方正仿宋_GBK" w:hAnsi="方正仿宋_GBK" w:cs="方正仿宋_GBK" w:hint="eastAsia"/>
          <w:kern w:val="0"/>
          <w:sz w:val="32"/>
          <w:szCs w:val="32"/>
        </w:rPr>
        <w:t>2010~2020</w:t>
      </w:r>
      <w:r>
        <w:rPr>
          <w:rFonts w:ascii="方正仿宋_GBK" w:eastAsia="方正仿宋_GBK" w:hAnsi="方正仿宋_GBK" w:cs="方正仿宋_GBK" w:hint="eastAsia"/>
          <w:kern w:val="0"/>
          <w:sz w:val="32"/>
          <w:szCs w:val="32"/>
        </w:rPr>
        <w:t>）》的重大理论和现实问题为主攻方向，践行五大发展理念，积极推动学科体系、学术观点、科研方法创新，发挥省哲学社会科学教育科学规划项目的示范引领作用</w:t>
      </w:r>
      <w:r>
        <w:rPr>
          <w:rFonts w:ascii="方正仿宋_GBK" w:eastAsia="方正仿宋_GBK" w:hAnsi="方正仿宋_GBK" w:cs="方正仿宋_GBK" w:hint="eastAsia"/>
          <w:kern w:val="0"/>
          <w:sz w:val="32"/>
          <w:szCs w:val="32"/>
        </w:rPr>
        <w:t>，推动教育科学研究为教育事业发展服务、为建设人力资源强省服务。</w:t>
      </w:r>
    </w:p>
    <w:p w:rsidR="00551E54" w:rsidRDefault="00F3497C">
      <w:pPr>
        <w:spacing w:line="53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kern w:val="0"/>
          <w:sz w:val="32"/>
          <w:szCs w:val="32"/>
        </w:rPr>
        <w:t>二、本年度省哲学社会科学教育科学规划项目面向全省各级各类学校及教育部门的教育工作者。申请人需具有副高级以上（含）专业技术职称（职务），或者具有博士学位。不具有副高级以上（含）专业技术职称（职务）或者博士学位的，且年龄符合条件的可以申请青年项目，但必须有两名具有正高级专业技术职称（职务）的同行专家书面推荐。青年项目申请人和项目组成员的年龄均不超过</w:t>
      </w:r>
      <w:r>
        <w:rPr>
          <w:rFonts w:ascii="方正仿宋_GBK" w:eastAsia="方正仿宋_GBK" w:hAnsi="方正仿宋_GBK" w:cs="方正仿宋_GBK" w:hint="eastAsia"/>
          <w:kern w:val="0"/>
          <w:sz w:val="32"/>
          <w:szCs w:val="32"/>
        </w:rPr>
        <w:t>39</w:t>
      </w:r>
      <w:r>
        <w:rPr>
          <w:rFonts w:ascii="方正仿宋_GBK" w:eastAsia="方正仿宋_GBK" w:hAnsi="方正仿宋_GBK" w:cs="方正仿宋_GBK" w:hint="eastAsia"/>
          <w:kern w:val="0"/>
          <w:sz w:val="32"/>
          <w:szCs w:val="32"/>
        </w:rPr>
        <w:t>周岁</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197</w:t>
      </w:r>
      <w:r>
        <w:rPr>
          <w:rFonts w:ascii="方正仿宋_GBK" w:eastAsia="方正仿宋_GBK" w:hAnsi="方正仿宋_GBK" w:cs="方正仿宋_GBK" w:hint="eastAsia"/>
          <w:bCs/>
          <w:sz w:val="32"/>
          <w:szCs w:val="32"/>
        </w:rPr>
        <w:t>7</w:t>
      </w:r>
      <w:r>
        <w:rPr>
          <w:rFonts w:ascii="方正仿宋_GBK" w:eastAsia="方正仿宋_GBK" w:hAnsi="方正仿宋_GBK" w:cs="方正仿宋_GBK" w:hint="eastAsia"/>
          <w:bCs/>
          <w:sz w:val="32"/>
          <w:szCs w:val="32"/>
        </w:rPr>
        <w:t>年</w:t>
      </w:r>
      <w:r>
        <w:rPr>
          <w:rFonts w:ascii="方正仿宋_GBK" w:eastAsia="方正仿宋_GBK" w:hAnsi="方正仿宋_GBK" w:cs="方正仿宋_GBK" w:hint="eastAsia"/>
          <w:bCs/>
          <w:sz w:val="32"/>
          <w:szCs w:val="32"/>
        </w:rPr>
        <w:t>7</w:t>
      </w:r>
      <w:r>
        <w:rPr>
          <w:rFonts w:ascii="方正仿宋_GBK" w:eastAsia="方正仿宋_GBK" w:hAnsi="方正仿宋_GBK" w:cs="方正仿宋_GBK" w:hint="eastAsia"/>
          <w:bCs/>
          <w:sz w:val="32"/>
          <w:szCs w:val="32"/>
        </w:rPr>
        <w:t>月</w:t>
      </w:r>
      <w:r>
        <w:rPr>
          <w:rFonts w:ascii="方正仿宋_GBK" w:eastAsia="方正仿宋_GBK" w:hAnsi="方正仿宋_GBK" w:cs="方正仿宋_GBK" w:hint="eastAsia"/>
          <w:bCs/>
          <w:sz w:val="32"/>
          <w:szCs w:val="32"/>
        </w:rPr>
        <w:t>20</w:t>
      </w:r>
      <w:r>
        <w:rPr>
          <w:rFonts w:ascii="方正仿宋_GBK" w:eastAsia="方正仿宋_GBK" w:hAnsi="方正仿宋_GBK" w:cs="方正仿宋_GBK" w:hint="eastAsia"/>
          <w:bCs/>
          <w:sz w:val="32"/>
          <w:szCs w:val="32"/>
        </w:rPr>
        <w:t>日后出生）。</w:t>
      </w:r>
      <w:r>
        <w:rPr>
          <w:rFonts w:ascii="方正仿宋_GBK" w:eastAsia="方正仿宋_GBK" w:hAnsi="方正仿宋_GBK" w:cs="方正仿宋_GBK" w:hint="eastAsia"/>
          <w:bCs/>
          <w:sz w:val="32"/>
          <w:szCs w:val="32"/>
        </w:rPr>
        <w:t>项目</w:t>
      </w:r>
      <w:r>
        <w:rPr>
          <w:rFonts w:ascii="方正仿宋_GBK" w:eastAsia="方正仿宋_GBK" w:hAnsi="方正仿宋_GBK" w:cs="方正仿宋_GBK" w:hint="eastAsia"/>
          <w:bCs/>
          <w:sz w:val="32"/>
          <w:szCs w:val="32"/>
        </w:rPr>
        <w:t>组成员或推荐人须征得本人同意并签字确认，否则视为违规申报。</w:t>
      </w:r>
      <w:r>
        <w:rPr>
          <w:rFonts w:ascii="方正仿宋_GBK" w:eastAsia="方正仿宋_GBK" w:hAnsi="方正仿宋_GBK" w:cs="方正仿宋_GBK" w:hint="eastAsia"/>
          <w:bCs/>
          <w:sz w:val="32"/>
          <w:szCs w:val="32"/>
        </w:rPr>
        <w:t>全日制在读研究生不能申请，具备申报条件的在职博士生（博士后）从所在工作单位申请。</w:t>
      </w:r>
    </w:p>
    <w:p w:rsidR="00551E54" w:rsidRDefault="00F3497C">
      <w:pPr>
        <w:spacing w:line="53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三、项目申请人所在单位须符合以下条件：在相关领域具有较雄厚的学术资源和研究实力；设有科研管理职能部门；</w:t>
      </w:r>
      <w:r>
        <w:rPr>
          <w:rFonts w:ascii="方正仿宋_GBK" w:eastAsia="方正仿宋_GBK" w:hAnsi="方正仿宋_GBK" w:cs="方正仿宋_GBK" w:hint="eastAsia"/>
          <w:kern w:val="0"/>
          <w:sz w:val="32"/>
          <w:szCs w:val="32"/>
        </w:rPr>
        <w:lastRenderedPageBreak/>
        <w:t>能够提供开展研究的必要条件并承诺信誉保证。</w:t>
      </w:r>
    </w:p>
    <w:p w:rsidR="00551E54" w:rsidRDefault="00F3497C">
      <w:pPr>
        <w:spacing w:line="53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四、</w:t>
      </w:r>
      <w:r>
        <w:rPr>
          <w:rFonts w:ascii="方正仿宋_GBK" w:eastAsia="方正仿宋_GBK" w:hAnsi="方正仿宋_GBK" w:cs="方正仿宋_GBK" w:hint="eastAsia"/>
          <w:color w:val="000000"/>
          <w:sz w:val="32"/>
          <w:szCs w:val="32"/>
        </w:rPr>
        <w:t>申请人可</w:t>
      </w:r>
      <w:r>
        <w:rPr>
          <w:rFonts w:ascii="方正仿宋_GBK" w:eastAsia="方正仿宋_GBK" w:hAnsi="方正仿宋_GBK" w:cs="方正仿宋_GBK" w:hint="eastAsia"/>
          <w:color w:val="000000"/>
          <w:sz w:val="32"/>
          <w:szCs w:val="32"/>
        </w:rPr>
        <w:t>在“选</w:t>
      </w:r>
      <w:r>
        <w:rPr>
          <w:rFonts w:ascii="方正仿宋_GBK" w:eastAsia="方正仿宋_GBK" w:hAnsi="方正仿宋_GBK" w:cs="方正仿宋_GBK" w:hint="eastAsia"/>
          <w:color w:val="000000"/>
          <w:sz w:val="32"/>
          <w:szCs w:val="32"/>
        </w:rPr>
        <w:t>题指南</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范围</w:t>
      </w:r>
      <w:r>
        <w:rPr>
          <w:rFonts w:ascii="方正仿宋_GBK" w:eastAsia="方正仿宋_GBK" w:hAnsi="方正仿宋_GBK" w:cs="方正仿宋_GBK" w:hint="eastAsia"/>
          <w:color w:val="000000"/>
          <w:sz w:val="32"/>
          <w:szCs w:val="32"/>
        </w:rPr>
        <w:t>内</w:t>
      </w:r>
      <w:r>
        <w:rPr>
          <w:rFonts w:ascii="方正仿宋_GBK" w:eastAsia="方正仿宋_GBK" w:hAnsi="方正仿宋_GBK" w:cs="方正仿宋_GBK" w:hint="eastAsia"/>
          <w:sz w:val="32"/>
          <w:szCs w:val="32"/>
        </w:rPr>
        <w:t>选择不同的研究角度、方法和侧重点</w:t>
      </w:r>
      <w:r>
        <w:rPr>
          <w:rFonts w:ascii="方正仿宋_GBK" w:eastAsia="方正仿宋_GBK" w:hAnsi="方正仿宋_GBK" w:cs="方正仿宋_GBK" w:hint="eastAsia"/>
          <w:color w:val="000000"/>
          <w:sz w:val="32"/>
          <w:szCs w:val="32"/>
        </w:rPr>
        <w:t>对选题名称进行适当修改</w:t>
      </w:r>
      <w:r>
        <w:rPr>
          <w:rFonts w:ascii="方正仿宋_GBK" w:eastAsia="方正仿宋_GBK" w:hAnsi="方正仿宋_GBK" w:cs="方正仿宋_GBK" w:hint="eastAsia"/>
          <w:color w:val="000000"/>
          <w:sz w:val="32"/>
          <w:szCs w:val="32"/>
        </w:rPr>
        <w:t>申报，也</w:t>
      </w:r>
      <w:r>
        <w:rPr>
          <w:rFonts w:ascii="方正仿宋_GBK" w:eastAsia="方正仿宋_GBK" w:hAnsi="方正仿宋_GBK" w:cs="方正仿宋_GBK" w:hint="eastAsia"/>
          <w:color w:val="000000"/>
          <w:sz w:val="32"/>
          <w:szCs w:val="32"/>
        </w:rPr>
        <w:t>鼓励申请人</w:t>
      </w:r>
      <w:r>
        <w:rPr>
          <w:rFonts w:ascii="方正仿宋_GBK" w:eastAsia="方正仿宋_GBK" w:hAnsi="方正仿宋_GBK" w:cs="方正仿宋_GBK" w:hint="eastAsia"/>
          <w:color w:val="000000"/>
          <w:sz w:val="32"/>
          <w:szCs w:val="32"/>
        </w:rPr>
        <w:t>根据研究兴趣和学术积累自</w:t>
      </w:r>
      <w:r>
        <w:rPr>
          <w:rFonts w:ascii="方正仿宋_GBK" w:eastAsia="方正仿宋_GBK" w:hAnsi="方正仿宋_GBK" w:cs="方正仿宋_GBK" w:hint="eastAsia"/>
          <w:color w:val="000000"/>
          <w:sz w:val="32"/>
          <w:szCs w:val="32"/>
        </w:rPr>
        <w:t>选选题</w:t>
      </w:r>
      <w:r>
        <w:rPr>
          <w:rFonts w:ascii="方正仿宋_GBK" w:eastAsia="方正仿宋_GBK" w:hAnsi="方正仿宋_GBK" w:cs="方正仿宋_GBK" w:hint="eastAsia"/>
          <w:color w:val="000000"/>
          <w:sz w:val="32"/>
          <w:szCs w:val="32"/>
        </w:rPr>
        <w:t>申报。</w:t>
      </w:r>
      <w:r>
        <w:rPr>
          <w:rFonts w:ascii="方正仿宋_GBK" w:eastAsia="方正仿宋_GBK" w:hAnsi="方正仿宋_GBK" w:cs="方正仿宋_GBK" w:hint="eastAsia"/>
          <w:kern w:val="0"/>
          <w:sz w:val="32"/>
          <w:szCs w:val="32"/>
        </w:rPr>
        <w:t>项目</w:t>
      </w:r>
      <w:r>
        <w:rPr>
          <w:rFonts w:ascii="方正仿宋_GBK" w:eastAsia="方正仿宋_GBK" w:hAnsi="方正仿宋_GBK" w:cs="方正仿宋_GBK" w:hint="eastAsia"/>
          <w:kern w:val="0"/>
          <w:sz w:val="32"/>
          <w:szCs w:val="32"/>
        </w:rPr>
        <w:t>名称的表述应科学、严谨、规范、简明，一般不加副标题。没有明确研究对象和问题指向的申请不予受理和立项。</w:t>
      </w:r>
      <w:r>
        <w:rPr>
          <w:rFonts w:ascii="方正仿宋_GBK" w:eastAsia="方正仿宋_GBK" w:hAnsi="方正仿宋_GBK" w:cs="方正仿宋_GBK" w:hint="eastAsia"/>
          <w:kern w:val="0"/>
          <w:sz w:val="32"/>
          <w:szCs w:val="32"/>
        </w:rPr>
        <w:t>项目</w:t>
      </w:r>
      <w:r>
        <w:rPr>
          <w:rFonts w:ascii="方正仿宋_GBK" w:eastAsia="方正仿宋_GBK" w:hAnsi="方正仿宋_GBK" w:cs="方正仿宋_GBK" w:hint="eastAsia"/>
          <w:kern w:val="0"/>
          <w:sz w:val="32"/>
          <w:szCs w:val="32"/>
        </w:rPr>
        <w:t>研究要立足云南教育实际，注重研究解决云南教育发展中的问题。</w:t>
      </w:r>
    </w:p>
    <w:p w:rsidR="00551E54" w:rsidRDefault="00F3497C">
      <w:pPr>
        <w:spacing w:line="53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kern w:val="0"/>
          <w:sz w:val="32"/>
          <w:szCs w:val="32"/>
        </w:rPr>
        <w:t>五、本年度云南省哲学社会科学教育科学规划项目设立重点、一般和青年三个类别。资助额度为重点项目每项</w:t>
      </w:r>
      <w:r>
        <w:rPr>
          <w:rFonts w:ascii="方正仿宋_GBK" w:eastAsia="方正仿宋_GBK" w:hAnsi="方正仿宋_GBK" w:cs="方正仿宋_GBK" w:hint="eastAsia"/>
          <w:kern w:val="0"/>
          <w:sz w:val="32"/>
          <w:szCs w:val="32"/>
        </w:rPr>
        <w:t>5</w:t>
      </w:r>
      <w:r>
        <w:rPr>
          <w:rFonts w:ascii="方正仿宋_GBK" w:eastAsia="方正仿宋_GBK" w:hAnsi="方正仿宋_GBK" w:cs="方正仿宋_GBK" w:hint="eastAsia"/>
          <w:kern w:val="0"/>
          <w:sz w:val="32"/>
          <w:szCs w:val="32"/>
        </w:rPr>
        <w:t>万元，一般项目每项</w:t>
      </w: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万元，青年项目每项</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万元。申请人要根据</w:t>
      </w:r>
      <w:r>
        <w:rPr>
          <w:rFonts w:ascii="方正仿宋_GBK" w:eastAsia="方正仿宋_GBK" w:hAnsi="方正仿宋_GBK" w:cs="方正仿宋_GBK" w:hint="eastAsia"/>
          <w:bCs/>
          <w:sz w:val="32"/>
          <w:szCs w:val="32"/>
        </w:rPr>
        <w:t>《云南省哲学社会科学规划课题管理办法》的要求，确定申报项目类别，并根据</w:t>
      </w:r>
      <w:r>
        <w:rPr>
          <w:rFonts w:ascii="方正仿宋_GBK" w:eastAsia="方正仿宋_GBK" w:hAnsi="方正仿宋_GBK" w:cs="方正仿宋_GBK" w:hint="eastAsia"/>
          <w:bCs/>
          <w:sz w:val="32"/>
          <w:szCs w:val="32"/>
        </w:rPr>
        <w:t>《云南省级部门课题经费管理办法（云财【</w:t>
      </w:r>
      <w:r>
        <w:rPr>
          <w:rFonts w:ascii="方正仿宋_GBK" w:eastAsia="方正仿宋_GBK" w:hAnsi="方正仿宋_GBK" w:cs="方正仿宋_GBK" w:hint="eastAsia"/>
          <w:bCs/>
          <w:sz w:val="32"/>
          <w:szCs w:val="32"/>
        </w:rPr>
        <w:t>2016</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131</w:t>
      </w:r>
      <w:r>
        <w:rPr>
          <w:rFonts w:ascii="方正仿宋_GBK" w:eastAsia="方正仿宋_GBK" w:hAnsi="方正仿宋_GBK" w:cs="方正仿宋_GBK" w:hint="eastAsia"/>
          <w:bCs/>
          <w:sz w:val="32"/>
          <w:szCs w:val="32"/>
        </w:rPr>
        <w:t>号</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编制合理科学的经费预算。</w:t>
      </w:r>
    </w:p>
    <w:p w:rsidR="00551E54" w:rsidRDefault="00F3497C">
      <w:pPr>
        <w:spacing w:line="53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bCs/>
          <w:sz w:val="32"/>
          <w:szCs w:val="32"/>
        </w:rPr>
        <w:t>六、</w:t>
      </w:r>
      <w:r>
        <w:rPr>
          <w:rFonts w:ascii="方正仿宋_GBK" w:eastAsia="方正仿宋_GBK" w:hAnsi="方正仿宋_GBK" w:cs="方正仿宋_GBK" w:hint="eastAsia"/>
          <w:kern w:val="0"/>
          <w:sz w:val="32"/>
          <w:szCs w:val="32"/>
        </w:rPr>
        <w:t>为避免一题多报、交叉申请和重复立项，确保申请人有足够时间和精力从事课题研究，特对项目申请作如下限定：</w:t>
      </w:r>
      <w:r>
        <w:rPr>
          <w:rFonts w:ascii="方正仿宋_GBK" w:eastAsia="方正仿宋_GBK" w:hAnsi="方正仿宋_GBK" w:cs="方正仿宋_GBK" w:hint="eastAsia"/>
          <w:kern w:val="0"/>
          <w:sz w:val="32"/>
          <w:szCs w:val="32"/>
        </w:rPr>
        <w:t>项目申请</w:t>
      </w:r>
      <w:r>
        <w:rPr>
          <w:rFonts w:ascii="方正仿宋_GBK" w:eastAsia="方正仿宋_GBK" w:hAnsi="方正仿宋_GBK" w:cs="方正仿宋_GBK" w:hint="eastAsia"/>
          <w:kern w:val="0"/>
          <w:sz w:val="32"/>
          <w:szCs w:val="32"/>
        </w:rPr>
        <w:t>人只能申报</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个课题，且不能作</w:t>
      </w:r>
      <w:r>
        <w:rPr>
          <w:rFonts w:ascii="方正仿宋_GBK" w:eastAsia="方正仿宋_GBK" w:hAnsi="方正仿宋_GBK" w:cs="方正仿宋_GBK" w:hint="eastAsia"/>
          <w:kern w:val="0"/>
          <w:sz w:val="32"/>
          <w:szCs w:val="32"/>
        </w:rPr>
        <w:t>为</w:t>
      </w:r>
      <w:r>
        <w:rPr>
          <w:rFonts w:ascii="方正仿宋_GBK" w:eastAsia="方正仿宋_GBK" w:hAnsi="方正仿宋_GBK" w:cs="方正仿宋_GBK" w:hint="eastAsia"/>
          <w:kern w:val="0"/>
          <w:sz w:val="32"/>
          <w:szCs w:val="32"/>
        </w:rPr>
        <w:t>项目</w:t>
      </w:r>
      <w:r>
        <w:rPr>
          <w:rFonts w:ascii="方正仿宋_GBK" w:eastAsia="方正仿宋_GBK" w:hAnsi="方正仿宋_GBK" w:cs="方正仿宋_GBK" w:hint="eastAsia"/>
          <w:kern w:val="0"/>
          <w:sz w:val="32"/>
          <w:szCs w:val="32"/>
        </w:rPr>
        <w:t>组成员参加其他</w:t>
      </w:r>
      <w:r>
        <w:rPr>
          <w:rFonts w:ascii="方正仿宋_GBK" w:eastAsia="方正仿宋_GBK" w:hAnsi="方正仿宋_GBK" w:cs="方正仿宋_GBK" w:hint="eastAsia"/>
          <w:kern w:val="0"/>
          <w:sz w:val="32"/>
          <w:szCs w:val="32"/>
        </w:rPr>
        <w:t>项目</w:t>
      </w:r>
      <w:r>
        <w:rPr>
          <w:rFonts w:ascii="方正仿宋_GBK" w:eastAsia="方正仿宋_GBK" w:hAnsi="方正仿宋_GBK" w:cs="方正仿宋_GBK" w:hint="eastAsia"/>
          <w:kern w:val="0"/>
          <w:sz w:val="32"/>
          <w:szCs w:val="32"/>
        </w:rPr>
        <w:t>申报</w:t>
      </w:r>
      <w:r>
        <w:rPr>
          <w:rFonts w:ascii="方正仿宋_GBK" w:eastAsia="方正仿宋_GBK" w:hAnsi="方正仿宋_GBK" w:cs="方正仿宋_GBK" w:hint="eastAsia"/>
          <w:kern w:val="0"/>
          <w:sz w:val="32"/>
          <w:szCs w:val="32"/>
        </w:rPr>
        <w:t>；项目</w:t>
      </w:r>
      <w:r>
        <w:rPr>
          <w:rFonts w:ascii="方正仿宋_GBK" w:eastAsia="方正仿宋_GBK" w:hAnsi="方正仿宋_GBK" w:cs="方正仿宋_GBK" w:hint="eastAsia"/>
          <w:kern w:val="0"/>
          <w:sz w:val="32"/>
          <w:szCs w:val="32"/>
        </w:rPr>
        <w:t>组成员同年度最多参与</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个</w:t>
      </w:r>
      <w:r>
        <w:rPr>
          <w:rFonts w:ascii="方正仿宋_GBK" w:eastAsia="方正仿宋_GBK" w:hAnsi="方正仿宋_GBK" w:cs="方正仿宋_GBK" w:hint="eastAsia"/>
          <w:kern w:val="0"/>
          <w:sz w:val="32"/>
          <w:szCs w:val="32"/>
        </w:rPr>
        <w:t>项目</w:t>
      </w:r>
      <w:r>
        <w:rPr>
          <w:rFonts w:ascii="方正仿宋_GBK" w:eastAsia="方正仿宋_GBK" w:hAnsi="方正仿宋_GBK" w:cs="方正仿宋_GBK" w:hint="eastAsia"/>
          <w:kern w:val="0"/>
          <w:sz w:val="32"/>
          <w:szCs w:val="32"/>
        </w:rPr>
        <w:t>的申报；在研省哲学社会科学规划各类项目、省教育科学规划课题负责人，不能申报新的项目（结项证书标注日期在</w:t>
      </w:r>
      <w:r>
        <w:rPr>
          <w:rFonts w:ascii="方正仿宋_GBK" w:eastAsia="方正仿宋_GBK" w:hAnsi="方正仿宋_GBK" w:cs="方正仿宋_GBK" w:hint="eastAsia"/>
          <w:kern w:val="0"/>
          <w:sz w:val="32"/>
          <w:szCs w:val="32"/>
        </w:rPr>
        <w:t>201</w:t>
      </w:r>
      <w:r>
        <w:rPr>
          <w:rFonts w:ascii="方正仿宋_GBK" w:eastAsia="方正仿宋_GBK" w:hAnsi="方正仿宋_GBK" w:cs="方正仿宋_GBK" w:hint="eastAsia"/>
          <w:kern w:val="0"/>
          <w:sz w:val="32"/>
          <w:szCs w:val="32"/>
        </w:rPr>
        <w:t>6</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hint="eastAsia"/>
          <w:kern w:val="0"/>
          <w:sz w:val="32"/>
          <w:szCs w:val="32"/>
        </w:rPr>
        <w:t>7</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20</w:t>
      </w:r>
      <w:bookmarkStart w:id="0" w:name="_GoBack"/>
      <w:bookmarkEnd w:id="0"/>
      <w:r>
        <w:rPr>
          <w:rFonts w:ascii="方正仿宋_GBK" w:eastAsia="方正仿宋_GBK" w:hAnsi="方正仿宋_GBK" w:cs="方正仿宋_GBK" w:hint="eastAsia"/>
          <w:kern w:val="0"/>
          <w:sz w:val="32"/>
          <w:szCs w:val="32"/>
        </w:rPr>
        <w:t>日前的可以申请）；不得以已出版内容基本相同的研究成果申请本项目</w:t>
      </w:r>
      <w:r>
        <w:rPr>
          <w:rFonts w:ascii="方正仿宋_GBK" w:eastAsia="方正仿宋_GBK" w:hAnsi="方正仿宋_GBK" w:cs="方正仿宋_GBK" w:hint="eastAsia"/>
          <w:kern w:val="0"/>
          <w:sz w:val="32"/>
          <w:szCs w:val="32"/>
        </w:rPr>
        <w:t>；不得以已获得同级别及以上项目立项的相同选题申报本次项目。有上述情形之一的，视为违规申报。</w:t>
      </w:r>
    </w:p>
    <w:p w:rsidR="00551E54" w:rsidRDefault="00F3497C">
      <w:pPr>
        <w:adjustRightInd w:val="0"/>
        <w:snapToGrid w:val="0"/>
        <w:spacing w:line="53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七、云南省哲学社会科学教育科学规划项目的完成时限一般为</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至</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hint="eastAsia"/>
          <w:kern w:val="0"/>
          <w:sz w:val="32"/>
          <w:szCs w:val="32"/>
        </w:rPr>
        <w:t>（重点项目</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年，其他项目</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。项目立项后必须按规定时限完成研究并申请结项，无正当理由逾期</w:t>
      </w:r>
      <w:r>
        <w:rPr>
          <w:rFonts w:ascii="方正仿宋_GBK" w:eastAsia="方正仿宋_GBK" w:hAnsi="方正仿宋_GBK" w:cs="方正仿宋_GBK" w:hint="eastAsia"/>
          <w:kern w:val="0"/>
          <w:sz w:val="32"/>
          <w:szCs w:val="32"/>
        </w:rPr>
        <w:lastRenderedPageBreak/>
        <w:t>未结项的，项目作终止研究</w:t>
      </w:r>
      <w:r>
        <w:rPr>
          <w:rFonts w:ascii="方正仿宋_GBK" w:eastAsia="方正仿宋_GBK" w:hAnsi="方正仿宋_GBK" w:cs="方正仿宋_GBK" w:hint="eastAsia"/>
          <w:kern w:val="0"/>
          <w:sz w:val="32"/>
          <w:szCs w:val="32"/>
        </w:rPr>
        <w:t>或撤项处理。</w:t>
      </w:r>
    </w:p>
    <w:p w:rsidR="00551E54" w:rsidRDefault="00F3497C">
      <w:pPr>
        <w:adjustRightInd w:val="0"/>
        <w:snapToGrid w:val="0"/>
        <w:spacing w:line="53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八、本年度云南省哲学社会科学教育科学规划项目采取网上申报方式</w:t>
      </w:r>
      <w:r>
        <w:rPr>
          <w:rFonts w:ascii="方正仿宋_GBK" w:eastAsia="方正仿宋_GBK" w:hAnsi="方正仿宋_GBK" w:cs="方正仿宋_GBK" w:hint="eastAsia"/>
          <w:kern w:val="0"/>
          <w:sz w:val="32"/>
          <w:szCs w:val="32"/>
        </w:rPr>
        <w:t>，申报系统</w:t>
      </w:r>
      <w:r>
        <w:rPr>
          <w:rFonts w:ascii="方正仿宋_GBK" w:eastAsia="方正仿宋_GBK" w:hAnsi="方正仿宋_GBK" w:cs="方正仿宋_GBK" w:hint="eastAsia"/>
          <w:kern w:val="0"/>
          <w:sz w:val="32"/>
          <w:szCs w:val="32"/>
        </w:rPr>
        <w:t>网址为</w:t>
      </w:r>
      <w:r>
        <w:rPr>
          <w:rFonts w:ascii="方正仿宋_GBK" w:eastAsia="方正仿宋_GBK" w:hAnsi="方正仿宋_GBK" w:cs="方正仿宋_GBK" w:hint="eastAsia"/>
          <w:kern w:val="0"/>
          <w:sz w:val="32"/>
          <w:szCs w:val="32"/>
        </w:rPr>
        <w:t>http://220.165.7.</w:t>
      </w:r>
      <w:r>
        <w:rPr>
          <w:rFonts w:ascii="方正仿宋_GBK" w:eastAsia="方正仿宋_GBK" w:hAnsi="方正仿宋_GBK" w:cs="方正仿宋_GBK" w:hint="eastAsia"/>
          <w:kern w:val="0"/>
          <w:sz w:val="32"/>
          <w:szCs w:val="32"/>
        </w:rPr>
        <w:t>48</w:t>
      </w:r>
      <w:r>
        <w:rPr>
          <w:rFonts w:ascii="方正仿宋_GBK" w:eastAsia="方正仿宋_GBK" w:hAnsi="方正仿宋_GBK" w:cs="方正仿宋_GBK" w:hint="eastAsia"/>
          <w:kern w:val="0"/>
          <w:sz w:val="32"/>
          <w:szCs w:val="32"/>
        </w:rPr>
        <w:t>/EDURF/</w:t>
      </w:r>
      <w:r>
        <w:rPr>
          <w:rFonts w:ascii="方正仿宋_GBK" w:eastAsia="方正仿宋_GBK" w:hAnsi="方正仿宋_GBK" w:cs="方正仿宋_GBK" w:hint="eastAsia"/>
          <w:kern w:val="0"/>
          <w:sz w:val="32"/>
          <w:szCs w:val="32"/>
        </w:rPr>
        <w:t>。申请</w:t>
      </w:r>
      <w:r>
        <w:rPr>
          <w:rFonts w:ascii="方正仿宋_GBK" w:eastAsia="方正仿宋_GBK" w:hAnsi="方正仿宋_GBK" w:cs="方正仿宋_GBK" w:hint="eastAsia"/>
          <w:kern w:val="0"/>
          <w:sz w:val="32"/>
          <w:szCs w:val="32"/>
        </w:rPr>
        <w:t>人需</w:t>
      </w:r>
      <w:r>
        <w:rPr>
          <w:rFonts w:ascii="方正仿宋_GBK" w:eastAsia="方正仿宋_GBK" w:hAnsi="方正仿宋_GBK" w:cs="方正仿宋_GBK" w:hint="eastAsia"/>
          <w:kern w:val="0"/>
          <w:sz w:val="32"/>
          <w:szCs w:val="32"/>
        </w:rPr>
        <w:t>在规定的时限内，登录该系统进行申报。申</w:t>
      </w:r>
      <w:r>
        <w:rPr>
          <w:rFonts w:ascii="方正仿宋_GBK" w:eastAsia="方正仿宋_GBK" w:hAnsi="方正仿宋_GBK" w:cs="方正仿宋_GBK" w:hint="eastAsia"/>
          <w:kern w:val="0"/>
          <w:sz w:val="32"/>
          <w:szCs w:val="32"/>
        </w:rPr>
        <w:t>请人</w:t>
      </w:r>
      <w:r>
        <w:rPr>
          <w:rFonts w:ascii="方正仿宋_GBK" w:eastAsia="方正仿宋_GBK" w:hAnsi="方正仿宋_GBK" w:cs="方正仿宋_GBK" w:hint="eastAsia"/>
          <w:kern w:val="0"/>
          <w:sz w:val="32"/>
          <w:szCs w:val="32"/>
        </w:rPr>
        <w:t>要如实填写材料，并保证没有知识产权争议。凡存在弄虚作假、抄袭剽窃等学术不端行为的，一经发现查实，取消</w:t>
      </w: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年申报资格并进行通报。</w:t>
      </w:r>
    </w:p>
    <w:p w:rsidR="00551E54" w:rsidRDefault="00F3497C">
      <w:pPr>
        <w:adjustRightInd w:val="0"/>
        <w:snapToGrid w:val="0"/>
        <w:spacing w:line="53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九、各州市教育科学规划办负责本地中小学、中职学校的项目申报，各高等学校及省属中小学幼儿园教育科研管理部门负责本单位的项目申报，</w:t>
      </w:r>
      <w:r>
        <w:rPr>
          <w:rFonts w:ascii="方正仿宋_GBK" w:eastAsia="方正仿宋_GBK" w:hAnsi="方正仿宋_GBK" w:cs="方正仿宋_GBK" w:hint="eastAsia"/>
          <w:kern w:val="0"/>
          <w:sz w:val="32"/>
          <w:szCs w:val="32"/>
        </w:rPr>
        <w:t>我办</w:t>
      </w:r>
      <w:r>
        <w:rPr>
          <w:rFonts w:ascii="方正仿宋_GBK" w:eastAsia="方正仿宋_GBK" w:hAnsi="方正仿宋_GBK" w:cs="方正仿宋_GBK" w:hint="eastAsia"/>
          <w:kern w:val="0"/>
          <w:sz w:val="32"/>
          <w:szCs w:val="32"/>
        </w:rPr>
        <w:t>不受理个人申报。各教育科研管理部门要加强对申报工作的组织和指导，严格审核申报资格、前期研究成果的真实性、课题组的研究实力和必备条件等，签署明确意见。</w:t>
      </w:r>
    </w:p>
    <w:p w:rsidR="00551E54" w:rsidRDefault="00F3497C">
      <w:pPr>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十、报送</w:t>
      </w:r>
      <w:r>
        <w:rPr>
          <w:rFonts w:ascii="方正仿宋_GBK" w:eastAsia="方正仿宋_GBK" w:hAnsi="方正仿宋_GBK" w:cs="方正仿宋_GBK" w:hint="eastAsia"/>
          <w:kern w:val="0"/>
          <w:sz w:val="32"/>
          <w:szCs w:val="32"/>
        </w:rPr>
        <w:t>的</w:t>
      </w:r>
      <w:r>
        <w:rPr>
          <w:rFonts w:ascii="方正仿宋_GBK" w:eastAsia="方正仿宋_GBK" w:hAnsi="方正仿宋_GBK" w:cs="方正仿宋_GBK" w:hint="eastAsia"/>
          <w:kern w:val="0"/>
          <w:sz w:val="32"/>
          <w:szCs w:val="32"/>
        </w:rPr>
        <w:t>纸质材料包括：</w:t>
      </w:r>
      <w:r>
        <w:rPr>
          <w:rFonts w:ascii="方正仿宋_GBK" w:eastAsia="方正仿宋_GBK" w:hAnsi="方正仿宋_GBK" w:cs="方正仿宋_GBK" w:hint="eastAsia"/>
          <w:sz w:val="32"/>
          <w:szCs w:val="32"/>
        </w:rPr>
        <w:t>经审查合格的《云南省哲学社会科学教育科学规划项目申请书》、《论证活页》各一式</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份（</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份原件，</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份复印件）；申报项目汇总清单纸质版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份，加盖科研管理部门公章。</w:t>
      </w:r>
    </w:p>
    <w:p w:rsidR="00551E54" w:rsidRDefault="00F3497C">
      <w:pPr>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十一、申报时间为</w:t>
      </w:r>
      <w:r>
        <w:rPr>
          <w:rFonts w:ascii="方正仿宋_GBK" w:eastAsia="方正仿宋_GBK" w:hAnsi="方正仿宋_GBK" w:cs="方正仿宋_GBK" w:hint="eastAsia"/>
          <w:kern w:val="0"/>
          <w:sz w:val="32"/>
          <w:szCs w:val="32"/>
        </w:rPr>
        <w:t>201</w:t>
      </w:r>
      <w:r>
        <w:rPr>
          <w:rFonts w:ascii="方正仿宋_GBK" w:eastAsia="方正仿宋_GBK" w:hAnsi="方正仿宋_GBK" w:cs="方正仿宋_GBK" w:hint="eastAsia"/>
          <w:kern w:val="0"/>
          <w:sz w:val="32"/>
          <w:szCs w:val="32"/>
        </w:rPr>
        <w:t>6</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hint="eastAsia"/>
          <w:kern w:val="0"/>
          <w:sz w:val="32"/>
          <w:szCs w:val="32"/>
        </w:rPr>
        <w:t>6</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20</w:t>
      </w:r>
      <w:r>
        <w:rPr>
          <w:rFonts w:ascii="方正仿宋_GBK" w:eastAsia="方正仿宋_GBK" w:hAnsi="方正仿宋_GBK" w:cs="方正仿宋_GBK" w:hint="eastAsia"/>
          <w:kern w:val="0"/>
          <w:sz w:val="32"/>
          <w:szCs w:val="32"/>
        </w:rPr>
        <w:t>日至</w:t>
      </w:r>
      <w:r>
        <w:rPr>
          <w:rFonts w:ascii="方正仿宋_GBK" w:eastAsia="方正仿宋_GBK" w:hAnsi="方正仿宋_GBK" w:cs="方正仿宋_GBK" w:hint="eastAsia"/>
          <w:kern w:val="0"/>
          <w:sz w:val="32"/>
          <w:szCs w:val="32"/>
        </w:rPr>
        <w:t>7</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20</w:t>
      </w:r>
      <w:r>
        <w:rPr>
          <w:rFonts w:ascii="方正仿宋_GBK" w:eastAsia="方正仿宋_GBK" w:hAnsi="方正仿宋_GBK" w:cs="方正仿宋_GBK" w:hint="eastAsia"/>
          <w:kern w:val="0"/>
          <w:sz w:val="32"/>
          <w:szCs w:val="32"/>
        </w:rPr>
        <w:t>日，纸质材料报送时间</w:t>
      </w:r>
      <w:r>
        <w:rPr>
          <w:rFonts w:ascii="方正仿宋_GBK" w:eastAsia="方正仿宋_GBK" w:hAnsi="方正仿宋_GBK" w:cs="方正仿宋_GBK" w:hint="eastAsia"/>
          <w:kern w:val="0"/>
          <w:sz w:val="32"/>
          <w:szCs w:val="32"/>
        </w:rPr>
        <w:t>7</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30</w:t>
      </w:r>
      <w:r>
        <w:rPr>
          <w:rFonts w:ascii="方正仿宋_GBK" w:eastAsia="方正仿宋_GBK" w:hAnsi="方正仿宋_GBK" w:cs="方正仿宋_GBK" w:hint="eastAsia"/>
          <w:kern w:val="0"/>
          <w:sz w:val="32"/>
          <w:szCs w:val="32"/>
        </w:rPr>
        <w:t>日</w:t>
      </w:r>
      <w:r>
        <w:rPr>
          <w:rFonts w:ascii="方正仿宋_GBK" w:eastAsia="方正仿宋_GBK" w:hAnsi="方正仿宋_GBK" w:cs="方正仿宋_GBK" w:hint="eastAsia"/>
          <w:kern w:val="0"/>
          <w:sz w:val="32"/>
          <w:szCs w:val="32"/>
        </w:rPr>
        <w:t>截止</w:t>
      </w:r>
      <w:r>
        <w:rPr>
          <w:rFonts w:ascii="方正仿宋_GBK" w:eastAsia="方正仿宋_GBK" w:hAnsi="方正仿宋_GBK" w:cs="方正仿宋_GBK" w:hint="eastAsia"/>
          <w:kern w:val="0"/>
          <w:sz w:val="32"/>
          <w:szCs w:val="32"/>
        </w:rPr>
        <w:t>。逾期不予受理。联系人：朱启涛、陈顺，办公室咨询电话：</w:t>
      </w:r>
      <w:r>
        <w:rPr>
          <w:rFonts w:ascii="方正仿宋_GBK" w:eastAsia="方正仿宋_GBK" w:hAnsi="方正仿宋_GBK" w:cs="方正仿宋_GBK" w:hint="eastAsia"/>
          <w:kern w:val="0"/>
          <w:sz w:val="32"/>
          <w:szCs w:val="32"/>
        </w:rPr>
        <w:t>0871-65026046</w:t>
      </w:r>
      <w:r>
        <w:rPr>
          <w:rFonts w:ascii="方正仿宋_GBK" w:eastAsia="方正仿宋_GBK" w:hAnsi="方正仿宋_GBK" w:cs="方正仿宋_GBK" w:hint="eastAsia"/>
          <w:kern w:val="0"/>
          <w:sz w:val="32"/>
          <w:szCs w:val="32"/>
        </w:rPr>
        <w:t>，邮政编码：</w:t>
      </w:r>
      <w:r>
        <w:rPr>
          <w:rFonts w:ascii="方正仿宋_GBK" w:eastAsia="方正仿宋_GBK" w:hAnsi="方正仿宋_GBK" w:cs="方正仿宋_GBK" w:hint="eastAsia"/>
          <w:kern w:val="0"/>
          <w:sz w:val="32"/>
          <w:szCs w:val="32"/>
        </w:rPr>
        <w:t>6502</w:t>
      </w:r>
      <w:r>
        <w:rPr>
          <w:rFonts w:ascii="方正仿宋_GBK" w:eastAsia="方正仿宋_GBK" w:hAnsi="方正仿宋_GBK" w:cs="方正仿宋_GBK" w:hint="eastAsia"/>
          <w:kern w:val="0"/>
          <w:sz w:val="32"/>
          <w:szCs w:val="32"/>
        </w:rPr>
        <w:t>23</w:t>
      </w:r>
      <w:r>
        <w:rPr>
          <w:rFonts w:ascii="方正仿宋_GBK" w:eastAsia="方正仿宋_GBK" w:hAnsi="方正仿宋_GBK" w:cs="方正仿宋_GBK" w:hint="eastAsia"/>
          <w:kern w:val="0"/>
          <w:sz w:val="32"/>
          <w:szCs w:val="32"/>
        </w:rPr>
        <w:t>，电子邮箱：</w:t>
      </w:r>
      <w:r>
        <w:rPr>
          <w:rFonts w:ascii="方正仿宋_GBK" w:eastAsia="方正仿宋_GBK" w:hAnsi="方正仿宋_GBK" w:cs="方正仿宋_GBK" w:hint="eastAsia"/>
          <w:kern w:val="0"/>
          <w:sz w:val="32"/>
          <w:szCs w:val="32"/>
        </w:rPr>
        <w:t>ynsghbsb@163.com</w:t>
      </w:r>
      <w:r>
        <w:rPr>
          <w:rFonts w:ascii="方正仿宋_GBK" w:eastAsia="方正仿宋_GBK" w:hAnsi="方正仿宋_GBK" w:cs="方正仿宋_GBK" w:hint="eastAsia"/>
          <w:kern w:val="0"/>
          <w:sz w:val="32"/>
          <w:szCs w:val="32"/>
        </w:rPr>
        <w:t>，邮寄地址：昆明市学府路</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号省教育科学规划办（省教育厅大楼</w:t>
      </w:r>
      <w:r>
        <w:rPr>
          <w:rFonts w:ascii="方正仿宋_GBK" w:eastAsia="方正仿宋_GBK" w:hAnsi="方正仿宋_GBK" w:cs="方正仿宋_GBK" w:hint="eastAsia"/>
          <w:kern w:val="0"/>
          <w:sz w:val="32"/>
          <w:szCs w:val="32"/>
        </w:rPr>
        <w:t>1011</w:t>
      </w:r>
      <w:r>
        <w:rPr>
          <w:rFonts w:ascii="方正仿宋_GBK" w:eastAsia="方正仿宋_GBK" w:hAnsi="方正仿宋_GBK" w:cs="方正仿宋_GBK" w:hint="eastAsia"/>
          <w:kern w:val="0"/>
          <w:sz w:val="32"/>
          <w:szCs w:val="32"/>
        </w:rPr>
        <w:t>室）。</w:t>
      </w:r>
    </w:p>
    <w:p w:rsidR="00551E54" w:rsidRDefault="00551E54"/>
    <w:p w:rsidR="00551E54" w:rsidRDefault="00551E54"/>
    <w:p w:rsidR="00551E54" w:rsidRDefault="00551E54"/>
    <w:p w:rsidR="00551E54" w:rsidRDefault="00551E54"/>
    <w:p w:rsidR="00551E54" w:rsidRDefault="00551E54"/>
    <w:p w:rsidR="00727A3F" w:rsidRDefault="00727A3F" w:rsidP="00727A3F">
      <w:pPr>
        <w:tabs>
          <w:tab w:val="left" w:pos="6030"/>
        </w:tabs>
        <w:ind w:right="675"/>
        <w:jc w:val="center"/>
      </w:pPr>
      <w:r>
        <w:rPr>
          <w:rFonts w:ascii="方正小标宋简体" w:eastAsia="方正小标宋简体" w:hAnsi="方正小标宋简体" w:cs="方正小标宋简体" w:hint="eastAsia"/>
          <w:b/>
          <w:bCs/>
          <w:sz w:val="32"/>
          <w:szCs w:val="32"/>
        </w:rPr>
        <w:lastRenderedPageBreak/>
        <w:t>选题指南</w:t>
      </w:r>
    </w:p>
    <w:p w:rsidR="00551E54" w:rsidRDefault="00551E54"/>
    <w:tbl>
      <w:tblPr>
        <w:tblStyle w:val="a6"/>
        <w:tblpPr w:leftFromText="180" w:rightFromText="180" w:vertAnchor="page" w:horzAnchor="page" w:tblpX="1827" w:tblpY="2423"/>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0"/>
        <w:gridCol w:w="7732"/>
      </w:tblGrid>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云南教育现代化指标体系及实施路径研究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云南</w:t>
            </w:r>
            <w:r>
              <w:rPr>
                <w:rFonts w:ascii="方正仿宋_GBK" w:eastAsia="方正仿宋_GBK" w:hAnsi="方正仿宋_GBK" w:cs="方正仿宋_GBK" w:hint="eastAsia"/>
                <w:sz w:val="32"/>
                <w:szCs w:val="32"/>
              </w:rPr>
              <w:t>省</w:t>
            </w:r>
            <w:r>
              <w:rPr>
                <w:rFonts w:ascii="方正仿宋_GBK" w:eastAsia="方正仿宋_GBK" w:hAnsi="方正仿宋_GBK" w:cs="方正仿宋_GBK" w:hint="eastAsia"/>
                <w:sz w:val="32"/>
                <w:szCs w:val="32"/>
              </w:rPr>
              <w:t>各级各类教育</w:t>
            </w:r>
            <w:r>
              <w:rPr>
                <w:rFonts w:ascii="方正仿宋_GBK" w:eastAsia="方正仿宋_GBK" w:hAnsi="方正仿宋_GBK" w:cs="方正仿宋_GBK" w:hint="eastAsia"/>
                <w:sz w:val="32"/>
                <w:szCs w:val="32"/>
              </w:rPr>
              <w:t>教育</w:t>
            </w:r>
            <w:r>
              <w:rPr>
                <w:rFonts w:ascii="方正仿宋_GBK" w:eastAsia="方正仿宋_GBK" w:hAnsi="方正仿宋_GBK" w:cs="方正仿宋_GBK" w:hint="eastAsia"/>
                <w:sz w:val="32"/>
                <w:szCs w:val="32"/>
              </w:rPr>
              <w:t>史研究</w:t>
            </w:r>
          </w:p>
        </w:tc>
      </w:tr>
      <w:tr w:rsidR="00551E54">
        <w:trPr>
          <w:trHeight w:val="624"/>
        </w:trPr>
        <w:tc>
          <w:tcPr>
            <w:tcW w:w="790"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p>
        </w:tc>
        <w:tc>
          <w:tcPr>
            <w:tcW w:w="7732"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云南特色新型教育智库研究</w:t>
            </w:r>
          </w:p>
        </w:tc>
      </w:tr>
      <w:tr w:rsidR="00551E54">
        <w:trPr>
          <w:trHeight w:val="624"/>
        </w:trPr>
        <w:tc>
          <w:tcPr>
            <w:tcW w:w="790"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p>
        </w:tc>
        <w:tc>
          <w:tcPr>
            <w:tcW w:w="7732"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边疆民族地区教育精准扶贫路径研究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教育公平保障措施研究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学校治理能力和治理体系建设研究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城镇化进程中的教育改革问题研究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学前教育中长期发展目标及推进策略研究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云南教师队伍建设中长期战略目标及政策研究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民办教育可持续发展战略研究</w:t>
            </w:r>
          </w:p>
        </w:tc>
      </w:tr>
      <w:tr w:rsidR="00551E54">
        <w:trPr>
          <w:trHeight w:val="624"/>
        </w:trPr>
        <w:tc>
          <w:tcPr>
            <w:tcW w:w="790"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健全</w:t>
            </w:r>
            <w:r>
              <w:rPr>
                <w:rFonts w:ascii="方正仿宋_GBK" w:eastAsia="方正仿宋_GBK" w:hAnsi="方正仿宋_GBK" w:cs="方正仿宋_GBK" w:hint="eastAsia"/>
                <w:sz w:val="32"/>
                <w:szCs w:val="32"/>
              </w:rPr>
              <w:t>教育投入</w:t>
            </w:r>
            <w:r>
              <w:rPr>
                <w:rFonts w:ascii="方正仿宋_GBK" w:eastAsia="方正仿宋_GBK" w:hAnsi="方正仿宋_GBK" w:cs="方正仿宋_GBK" w:hint="eastAsia"/>
                <w:sz w:val="32"/>
                <w:szCs w:val="32"/>
              </w:rPr>
              <w:t>长效</w:t>
            </w:r>
            <w:r>
              <w:rPr>
                <w:rFonts w:ascii="方正仿宋_GBK" w:eastAsia="方正仿宋_GBK" w:hAnsi="方正仿宋_GBK" w:cs="方正仿宋_GBK" w:hint="eastAsia"/>
                <w:sz w:val="32"/>
                <w:szCs w:val="32"/>
              </w:rPr>
              <w:t>机制研究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云南教育供给侧结构性改革研究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学前教育投入与成本分担机制研究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w:t>
            </w:r>
          </w:p>
        </w:tc>
        <w:tc>
          <w:tcPr>
            <w:tcW w:w="7732"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基础教育课堂教学改革研究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15.</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高效课堂与价值观培养关系研究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中小学校本特色课程实施研究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17.</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普通高中学业水平考试与学生综合素质评价实施研究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18.</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普通高中走班制实施策略研究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19.</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中小</w:t>
            </w:r>
            <w:r>
              <w:rPr>
                <w:rFonts w:ascii="方正仿宋_GBK" w:eastAsia="方正仿宋_GBK" w:hAnsi="方正仿宋_GBK" w:cs="方正仿宋_GBK" w:hint="eastAsia"/>
                <w:sz w:val="32"/>
                <w:szCs w:val="32"/>
              </w:rPr>
              <w:t>学生学科核心素养培养研究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普通高中学生能力倾向与生涯规划指导研究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21.</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初中学</w:t>
            </w:r>
            <w:r>
              <w:rPr>
                <w:rFonts w:ascii="方正仿宋_GBK" w:eastAsia="方正仿宋_GBK" w:hAnsi="方正仿宋_GBK" w:cs="方正仿宋_GBK" w:hint="eastAsia"/>
                <w:sz w:val="32"/>
                <w:szCs w:val="32"/>
              </w:rPr>
              <w:t>业</w:t>
            </w:r>
            <w:r>
              <w:rPr>
                <w:rFonts w:ascii="方正仿宋_GBK" w:eastAsia="方正仿宋_GBK" w:hAnsi="方正仿宋_GBK" w:cs="方正仿宋_GBK" w:hint="eastAsia"/>
                <w:sz w:val="32"/>
                <w:szCs w:val="32"/>
              </w:rPr>
              <w:t>水平测试</w:t>
            </w:r>
            <w:r>
              <w:rPr>
                <w:rFonts w:ascii="方正仿宋_GBK" w:eastAsia="方正仿宋_GBK" w:hAnsi="方正仿宋_GBK" w:cs="方正仿宋_GBK" w:hint="eastAsia"/>
                <w:sz w:val="32"/>
                <w:szCs w:val="32"/>
              </w:rPr>
              <w:t>中</w:t>
            </w:r>
            <w:r>
              <w:rPr>
                <w:rFonts w:ascii="方正仿宋_GBK" w:eastAsia="方正仿宋_GBK" w:hAnsi="方正仿宋_GBK" w:cs="方正仿宋_GBK" w:hint="eastAsia"/>
                <w:sz w:val="32"/>
                <w:szCs w:val="32"/>
              </w:rPr>
              <w:t>能力检测研究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22.</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初中学生阅读能力培养研究</w:t>
            </w:r>
          </w:p>
        </w:tc>
      </w:tr>
      <w:tr w:rsidR="00551E54">
        <w:trPr>
          <w:trHeight w:val="624"/>
        </w:trPr>
        <w:tc>
          <w:tcPr>
            <w:tcW w:w="790"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23.</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中学生学习共同体建设研究</w:t>
            </w:r>
          </w:p>
        </w:tc>
      </w:tr>
      <w:tr w:rsidR="00551E54">
        <w:trPr>
          <w:trHeight w:val="624"/>
        </w:trPr>
        <w:tc>
          <w:tcPr>
            <w:tcW w:w="790"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24.</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教育科研人员教学研究共同体建设研究</w:t>
            </w:r>
          </w:p>
        </w:tc>
      </w:tr>
      <w:tr w:rsidR="00551E54">
        <w:trPr>
          <w:trHeight w:val="624"/>
        </w:trPr>
        <w:tc>
          <w:tcPr>
            <w:tcW w:w="790"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25.</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农村教师结构调整及编制需求研究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26.</w:t>
            </w:r>
          </w:p>
        </w:tc>
        <w:tc>
          <w:tcPr>
            <w:tcW w:w="7732"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高等学校创新创业教育改革研究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27.</w:t>
            </w:r>
          </w:p>
        </w:tc>
        <w:tc>
          <w:tcPr>
            <w:tcW w:w="7732"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基于能力培养的高校翻转课</w:t>
            </w:r>
            <w:r>
              <w:rPr>
                <w:rFonts w:ascii="方正仿宋_GBK" w:eastAsia="方正仿宋_GBK" w:hAnsi="方正仿宋_GBK" w:cs="方正仿宋_GBK" w:hint="eastAsia"/>
                <w:sz w:val="32"/>
                <w:szCs w:val="32"/>
              </w:rPr>
              <w:t>堂</w:t>
            </w:r>
            <w:r>
              <w:rPr>
                <w:rFonts w:ascii="方正仿宋_GBK" w:eastAsia="方正仿宋_GBK" w:hAnsi="方正仿宋_GBK" w:cs="方正仿宋_GBK" w:hint="eastAsia"/>
                <w:sz w:val="32"/>
                <w:szCs w:val="32"/>
              </w:rPr>
              <w:t>教学改革研究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28.</w:t>
            </w:r>
          </w:p>
        </w:tc>
        <w:tc>
          <w:tcPr>
            <w:tcW w:w="7732"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高等学校课堂教学改革研究</w:t>
            </w:r>
          </w:p>
        </w:tc>
      </w:tr>
      <w:tr w:rsidR="00551E54">
        <w:trPr>
          <w:trHeight w:val="624"/>
        </w:trPr>
        <w:tc>
          <w:tcPr>
            <w:tcW w:w="790"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29.</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应用</w:t>
            </w:r>
            <w:r>
              <w:rPr>
                <w:rFonts w:ascii="方正仿宋_GBK" w:eastAsia="方正仿宋_GBK" w:hAnsi="方正仿宋_GBK" w:cs="方正仿宋_GBK" w:hint="eastAsia"/>
                <w:sz w:val="32"/>
                <w:szCs w:val="32"/>
              </w:rPr>
              <w:t>型</w:t>
            </w:r>
            <w:r>
              <w:rPr>
                <w:rFonts w:ascii="方正仿宋_GBK" w:eastAsia="方正仿宋_GBK" w:hAnsi="方正仿宋_GBK" w:cs="方正仿宋_GBK" w:hint="eastAsia"/>
                <w:sz w:val="32"/>
                <w:szCs w:val="32"/>
              </w:rPr>
              <w:t>本科</w:t>
            </w:r>
            <w:r>
              <w:rPr>
                <w:rFonts w:ascii="方正仿宋_GBK" w:eastAsia="方正仿宋_GBK" w:hAnsi="方正仿宋_GBK" w:cs="方正仿宋_GBK" w:hint="eastAsia"/>
                <w:sz w:val="32"/>
                <w:szCs w:val="32"/>
              </w:rPr>
              <w:t>高校</w:t>
            </w:r>
            <w:r>
              <w:rPr>
                <w:rFonts w:ascii="方正仿宋_GBK" w:eastAsia="方正仿宋_GBK" w:hAnsi="方正仿宋_GBK" w:cs="方正仿宋_GBK" w:hint="eastAsia"/>
                <w:sz w:val="32"/>
                <w:szCs w:val="32"/>
              </w:rPr>
              <w:t>人才培养质量及保证体系建设研究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30.</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云南建设一流大学、一流学科路径研究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31.</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云南省高校东南亚南亚语种专业结构和布局优化研究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32.</w:t>
            </w:r>
          </w:p>
        </w:tc>
        <w:tc>
          <w:tcPr>
            <w:tcW w:w="7732"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职业院校深化校企合作模式研究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33.</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现代学校制度下职业院校办学自主权研究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34.</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现代职业教育质量评价标准研究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35.</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职业院校专业建设与区域产业发展互动关系研究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36.</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社会主义核心价值观融入学校教育教学全过程研究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37.</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青少年价值观影响研究</w:t>
            </w:r>
          </w:p>
        </w:tc>
      </w:tr>
      <w:tr w:rsidR="00551E54">
        <w:trPr>
          <w:trHeight w:val="624"/>
        </w:trPr>
        <w:tc>
          <w:tcPr>
            <w:tcW w:w="790"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38</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校园文化建设策略研究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39.</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农村留守儿童教育问题研究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40.</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少数民族学生心理特点及学习规律研究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41.</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艺术教育综合改革研究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w:t>
            </w:r>
          </w:p>
        </w:tc>
        <w:tc>
          <w:tcPr>
            <w:tcW w:w="7732"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大数据环境下高校专业建设与社会人才需求监测研究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43.</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学科教学与信息技术深度融合模式研究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44.</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教师教育模式创新</w:t>
            </w:r>
            <w:r>
              <w:rPr>
                <w:rFonts w:ascii="方正仿宋_GBK" w:eastAsia="方正仿宋_GBK" w:hAnsi="方正仿宋_GBK" w:cs="方正仿宋_GBK" w:hint="eastAsia"/>
                <w:sz w:val="32"/>
                <w:szCs w:val="32"/>
              </w:rPr>
              <w:t>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45.</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互联网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背景下</w:t>
            </w:r>
            <w:r>
              <w:rPr>
                <w:rFonts w:ascii="方正仿宋_GBK" w:eastAsia="方正仿宋_GBK" w:hAnsi="方正仿宋_GBK" w:cs="方正仿宋_GBK" w:hint="eastAsia"/>
                <w:sz w:val="32"/>
                <w:szCs w:val="32"/>
              </w:rPr>
              <w:t>云南继续教育体系建设研究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46.</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云南社区教育实践研究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47.</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云南民族地区实施</w:t>
            </w:r>
            <w:r>
              <w:rPr>
                <w:rFonts w:ascii="方正仿宋_GBK" w:eastAsia="方正仿宋_GBK" w:hAnsi="方正仿宋_GBK" w:cs="方正仿宋_GBK" w:hint="eastAsia"/>
                <w:sz w:val="32"/>
                <w:szCs w:val="32"/>
              </w:rPr>
              <w:t>双语教育政策和模式研究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48.</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云南跨境民族教育问题研究</w:t>
            </w:r>
          </w:p>
        </w:tc>
      </w:tr>
      <w:tr w:rsidR="00551E54">
        <w:trPr>
          <w:trHeight w:val="624"/>
        </w:trPr>
        <w:tc>
          <w:tcPr>
            <w:tcW w:w="790"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49.</w:t>
            </w:r>
          </w:p>
        </w:tc>
        <w:tc>
          <w:tcPr>
            <w:tcW w:w="7732" w:type="dxa"/>
            <w:vAlign w:val="center"/>
          </w:tcPr>
          <w:p w:rsidR="00551E54" w:rsidRDefault="00F3497C">
            <w:pPr>
              <w:tabs>
                <w:tab w:val="left" w:pos="6030"/>
              </w:tabs>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双语教师培养培训机制建设研究</w:t>
            </w:r>
          </w:p>
        </w:tc>
      </w:tr>
      <w:tr w:rsidR="00551E54">
        <w:trPr>
          <w:trHeight w:val="624"/>
        </w:trPr>
        <w:tc>
          <w:tcPr>
            <w:tcW w:w="790"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50.</w:t>
            </w:r>
          </w:p>
        </w:tc>
        <w:tc>
          <w:tcPr>
            <w:tcW w:w="7732" w:type="dxa"/>
            <w:vAlign w:val="center"/>
          </w:tcPr>
          <w:p w:rsidR="00551E54" w:rsidRDefault="00F3497C">
            <w:pPr>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“一带一路”背景下云南教育对外合作交流研究</w:t>
            </w:r>
          </w:p>
        </w:tc>
      </w:tr>
    </w:tbl>
    <w:p w:rsidR="00551E54" w:rsidRDefault="00551E54">
      <w:pPr>
        <w:spacing w:line="440" w:lineRule="exact"/>
        <w:rPr>
          <w:rFonts w:ascii="方正仿宋_GBK" w:eastAsia="方正仿宋_GBK" w:hAnsi="方正仿宋_GBK" w:cs="方正仿宋_GBK"/>
          <w:sz w:val="32"/>
          <w:szCs w:val="32"/>
        </w:rPr>
      </w:pPr>
    </w:p>
    <w:p w:rsidR="00551E54" w:rsidRDefault="00551E54">
      <w:pPr>
        <w:tabs>
          <w:tab w:val="left" w:pos="6030"/>
        </w:tabs>
        <w:ind w:right="675"/>
        <w:rPr>
          <w:rFonts w:ascii="方正小标宋简体" w:eastAsia="方正小标宋简体" w:hAnsi="方正小标宋简体" w:cs="方正小标宋简体"/>
          <w:b/>
          <w:bCs/>
          <w:sz w:val="32"/>
          <w:szCs w:val="32"/>
        </w:rPr>
      </w:pPr>
    </w:p>
    <w:sectPr w:rsidR="00551E54" w:rsidSect="00551E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97C" w:rsidRDefault="00F3497C" w:rsidP="00551E54">
      <w:r>
        <w:separator/>
      </w:r>
    </w:p>
  </w:endnote>
  <w:endnote w:type="continuationSeparator" w:id="1">
    <w:p w:rsidR="00F3497C" w:rsidRDefault="00F3497C" w:rsidP="00551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54" w:rsidRDefault="00551E5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51E54" w:rsidRDefault="00551E54">
                <w:pPr>
                  <w:snapToGrid w:val="0"/>
                  <w:rPr>
                    <w:sz w:val="18"/>
                  </w:rPr>
                </w:pPr>
                <w:r>
                  <w:rPr>
                    <w:rFonts w:hint="eastAsia"/>
                    <w:sz w:val="18"/>
                  </w:rPr>
                  <w:fldChar w:fldCharType="begin"/>
                </w:r>
                <w:r w:rsidR="00F3497C">
                  <w:rPr>
                    <w:rFonts w:hint="eastAsia"/>
                    <w:sz w:val="18"/>
                  </w:rPr>
                  <w:instrText xml:space="preserve"> PAGE  \* MERGEFORMAT </w:instrText>
                </w:r>
                <w:r>
                  <w:rPr>
                    <w:rFonts w:hint="eastAsia"/>
                    <w:sz w:val="18"/>
                  </w:rPr>
                  <w:fldChar w:fldCharType="separate"/>
                </w:r>
                <w:r w:rsidR="00727A3F">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97C" w:rsidRDefault="00F3497C" w:rsidP="00551E54">
      <w:r>
        <w:separator/>
      </w:r>
    </w:p>
  </w:footnote>
  <w:footnote w:type="continuationSeparator" w:id="1">
    <w:p w:rsidR="00F3497C" w:rsidRDefault="00F3497C" w:rsidP="00551E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266E"/>
    <w:rsid w:val="0050266E"/>
    <w:rsid w:val="00551E54"/>
    <w:rsid w:val="00727A3F"/>
    <w:rsid w:val="00F3497C"/>
    <w:rsid w:val="01475A08"/>
    <w:rsid w:val="01F45482"/>
    <w:rsid w:val="119162E3"/>
    <w:rsid w:val="19344164"/>
    <w:rsid w:val="27F77081"/>
    <w:rsid w:val="31116CA1"/>
    <w:rsid w:val="3EBA6020"/>
    <w:rsid w:val="41F0300E"/>
    <w:rsid w:val="420349A7"/>
    <w:rsid w:val="477A3B4B"/>
    <w:rsid w:val="520C7D6F"/>
    <w:rsid w:val="54674084"/>
    <w:rsid w:val="62101AC8"/>
    <w:rsid w:val="6A98000D"/>
    <w:rsid w:val="6E753CBD"/>
    <w:rsid w:val="76F1491C"/>
    <w:rsid w:val="7B7D4C49"/>
    <w:rsid w:val="7C5A414B"/>
    <w:rsid w:val="7C716A38"/>
    <w:rsid w:val="7D0E3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1E5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51E54"/>
    <w:rPr>
      <w:rFonts w:ascii="宋体" w:hAnsi="Courier New" w:cs="Courier New"/>
      <w:szCs w:val="21"/>
    </w:rPr>
  </w:style>
  <w:style w:type="paragraph" w:styleId="a4">
    <w:name w:val="footer"/>
    <w:basedOn w:val="a"/>
    <w:qFormat/>
    <w:rsid w:val="00551E54"/>
    <w:pPr>
      <w:tabs>
        <w:tab w:val="center" w:pos="4153"/>
        <w:tab w:val="right" w:pos="8306"/>
      </w:tabs>
      <w:snapToGrid w:val="0"/>
      <w:jc w:val="left"/>
    </w:pPr>
    <w:rPr>
      <w:sz w:val="18"/>
    </w:rPr>
  </w:style>
  <w:style w:type="paragraph" w:styleId="a5">
    <w:name w:val="header"/>
    <w:basedOn w:val="a"/>
    <w:qFormat/>
    <w:rsid w:val="00551E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551E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441</Words>
  <Characters>2519</Characters>
  <Application>Microsoft Office Word</Application>
  <DocSecurity>0</DocSecurity>
  <Lines>20</Lines>
  <Paragraphs>5</Paragraphs>
  <ScaleCrop>false</ScaleCrop>
  <Company>china</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2016-06-13T06:46:00Z</dcterms:created>
  <dcterms:modified xsi:type="dcterms:W3CDTF">2016-06-24T02:12:00Z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