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1C" w:rsidRPr="003C541C" w:rsidRDefault="003C541C" w:rsidP="003C541C">
      <w:pPr>
        <w:widowControl/>
        <w:shd w:val="clear" w:color="auto" w:fill="FFFFFF"/>
        <w:spacing w:line="480" w:lineRule="atLeast"/>
        <w:jc w:val="center"/>
        <w:rPr>
          <w:rFonts w:asciiTheme="majorEastAsia" w:eastAsiaTheme="majorEastAsia" w:hAnsiTheme="majorEastAsia" w:cs="宋体"/>
          <w:b/>
          <w:bCs/>
          <w:kern w:val="0"/>
          <w:sz w:val="44"/>
          <w:szCs w:val="44"/>
        </w:rPr>
      </w:pPr>
      <w:r w:rsidRPr="003C541C">
        <w:rPr>
          <w:rFonts w:asciiTheme="majorEastAsia" w:eastAsiaTheme="majorEastAsia" w:hAnsiTheme="majorEastAsia" w:cs="宋体" w:hint="eastAsia"/>
          <w:b/>
          <w:bCs/>
          <w:kern w:val="0"/>
          <w:sz w:val="44"/>
          <w:szCs w:val="44"/>
        </w:rPr>
        <w:t>中华人民共和国教育部令第40号</w:t>
      </w:r>
    </w:p>
    <w:p w:rsidR="003C541C" w:rsidRPr="003C541C" w:rsidRDefault="003C541C" w:rsidP="003C541C">
      <w:pPr>
        <w:widowControl/>
        <w:shd w:val="clear" w:color="auto" w:fill="FFFFFF"/>
        <w:spacing w:before="240" w:line="480" w:lineRule="atLeast"/>
        <w:ind w:firstLineChars="250" w:firstLine="80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《高等学校预防与处理学术不端行为办法》已于2016年4月5日经教育部2016年第14次部长办公会议审议通过，现予发布，自2016年9月1日起施行。</w:t>
      </w:r>
    </w:p>
    <w:p w:rsidR="003C541C" w:rsidRPr="003C541C" w:rsidRDefault="003C541C" w:rsidP="003C541C">
      <w:pPr>
        <w:widowControl/>
        <w:shd w:val="clear" w:color="auto" w:fill="FFFFFF"/>
        <w:spacing w:before="240" w:line="480" w:lineRule="atLeast"/>
        <w:ind w:right="360"/>
        <w:jc w:val="righ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教育部部长</w:t>
      </w:r>
    </w:p>
    <w:p w:rsidR="003C541C" w:rsidRPr="003C541C" w:rsidRDefault="003C541C" w:rsidP="003C541C">
      <w:pPr>
        <w:widowControl/>
        <w:shd w:val="clear" w:color="auto" w:fill="FFFFFF"/>
        <w:spacing w:line="480" w:lineRule="atLeast"/>
        <w:jc w:val="righ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2016年6月16日</w:t>
      </w:r>
    </w:p>
    <w:p w:rsidR="003C541C" w:rsidRPr="003C541C" w:rsidRDefault="003C541C" w:rsidP="003C541C">
      <w:pPr>
        <w:widowControl/>
        <w:shd w:val="clear" w:color="auto" w:fill="FFFFFF"/>
        <w:spacing w:before="240"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高等学校预防与处理学术不端行为办法</w:t>
      </w:r>
    </w:p>
    <w:p w:rsidR="003C541C" w:rsidRPr="003C541C" w:rsidRDefault="003C541C" w:rsidP="00804490">
      <w:pPr>
        <w:pStyle w:val="a6"/>
        <w:widowControl/>
        <w:shd w:val="clear" w:color="auto" w:fill="FFFFFF"/>
        <w:spacing w:before="240" w:line="480" w:lineRule="atLeast"/>
        <w:ind w:left="520" w:firstLineChars="0" w:firstLine="0"/>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第一章总则</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第一条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本办法所称学术不端行为是指高等学校及其教学科研人员、管理人员和学生，在科学研究及相关活动中发生的违反公认的学术准则、违背学术诚信的行为。</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高等学校预防与处理学术不端行为应坚持预防为主、教育与惩戒结合的原则。</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第四条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教育部、国务院有关部门和省级教育部门负责制定高等学校学风建设的宏观政策，指导和监督高等学校学风建设工作，建立健全对所主管高等学校重大学术不端行为</w:t>
      </w:r>
      <w:r w:rsidRPr="003C541C">
        <w:rPr>
          <w:rFonts w:ascii="仿宋_GB2312" w:eastAsia="仿宋_GB2312" w:hAnsi="微软雅黑" w:cs="宋体" w:hint="eastAsia"/>
          <w:kern w:val="0"/>
          <w:sz w:val="32"/>
          <w:szCs w:val="32"/>
        </w:rPr>
        <w:lastRenderedPageBreak/>
        <w:t>的处理机制，建立高校学术不端行为的通报与相关信息公开制度。</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第五条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3C541C" w:rsidRPr="003C541C" w:rsidRDefault="003C541C" w:rsidP="003C541C">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高等学校应当充分发挥学术委员会在学风建设方面的作用，支持和保障学术委员会依法履行职责，调查、认定学术不端行为。</w:t>
      </w:r>
    </w:p>
    <w:p w:rsidR="003C541C" w:rsidRPr="003C541C" w:rsidRDefault="003C541C" w:rsidP="00804490">
      <w:pPr>
        <w:pStyle w:val="a6"/>
        <w:widowControl/>
        <w:shd w:val="clear" w:color="auto" w:fill="FFFFFF"/>
        <w:spacing w:line="480" w:lineRule="atLeast"/>
        <w:ind w:left="520" w:firstLineChars="0" w:firstLine="0"/>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第二章教育与预防</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第六条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高等学校应当完善学术治理体系，建立科学公正的学术评价和学术发展制度，营造鼓励创新、宽容失败、不骄不躁、风清气正的学术环境。</w:t>
      </w:r>
    </w:p>
    <w:p w:rsidR="003C541C" w:rsidRPr="003C541C" w:rsidRDefault="003C541C" w:rsidP="003C541C">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高等学校教学科研人员、管理人员、学生在科研活动中应当遵循实事求是的科学精神和严谨认真的治学态度，恪守学术诚信，遵循学术准则，尊重和保护他人知识产权等合法权益。</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第七条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高等学校应当将学术规范和学术诚信教育，作为教师培训和学生教育的必要内容，以多种形式开展教育、培训。</w:t>
      </w:r>
    </w:p>
    <w:p w:rsidR="003C541C" w:rsidRPr="003C541C" w:rsidRDefault="003C541C" w:rsidP="003C541C">
      <w:pPr>
        <w:widowControl/>
        <w:shd w:val="clear" w:color="auto" w:fill="FFFFFF"/>
        <w:spacing w:line="480" w:lineRule="atLeast"/>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lastRenderedPageBreak/>
        <w:t>教师对其指导的学生应当进行学术规范、学术诚信教育和指导，对学生公开发表论文、研究和撰写学位论文是否符合学术规范、学术诚信要求，进行必要的检查与审核。</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第八条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高等学校应当利用信息技术等手段，建立对学术成果、学位论文所涉及内容的知识产权查询制度，健全学术规范监督机制。</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第九条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高等学校应当建立健全科研管理制度，在合理期限内保存研究的原始数据和资料，保证科研档案和数据的真实性、完整性。</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高等学校应当完善科研项目评审、学术成果鉴定程序，结合学科特点，对非涉密的科研项目申报材料、学术成果的基本信息以适当方式进行公开。</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高等学校应当遵循学术研究规律，建立科学的学术水平考核评价标准、办法，引导教学科研人员和学生潜心研究，形成具有创新性、独创性的研究成果。</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第十一条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高等学校应当建立教学科研人员学术诚信记录，在年度考核、职称评定、岗位聘用、课题立项、人才计划、评优奖励中强化学术诚信考核。</w:t>
      </w:r>
    </w:p>
    <w:p w:rsidR="003C541C" w:rsidRPr="003C541C" w:rsidRDefault="003C541C" w:rsidP="003C541C">
      <w:pPr>
        <w:widowControl/>
        <w:shd w:val="clear" w:color="auto" w:fill="FFFFFF"/>
        <w:spacing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第三章受理与调查</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第十二条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高等学校应当明确具体部门，负责受理社会组织、个人对本校教学科研人员、管理人员及学生学术不端行为的举报；有条件的，可以设立专门岗位或者指定专人，</w:t>
      </w:r>
      <w:r w:rsidRPr="003C541C">
        <w:rPr>
          <w:rFonts w:ascii="仿宋_GB2312" w:eastAsia="仿宋_GB2312" w:hAnsi="微软雅黑" w:cs="宋体" w:hint="eastAsia"/>
          <w:kern w:val="0"/>
          <w:sz w:val="32"/>
          <w:szCs w:val="32"/>
        </w:rPr>
        <w:lastRenderedPageBreak/>
        <w:t>负责学术诚信和不端行为举报相关事宜的咨询、受理、调查等工作。</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第十三条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对学术不端行为的举报，一般应当以书面方式实名提出，并符合下列条件：</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（一）有明确的举报对象；</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（二）有实施学术不端行为的事实；</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（三）有客观的证据材料或者查证线索。</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以匿名方式举报，但事实清楚、证据充分或者线索明确的，高等学校应当视情况予以受理。</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第十四条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高等学校对媒体公开报道、其他学术机构或者社会组织主动披露的涉及本校人员的学术不端行为，应当依据职权，主动进行调查处理。</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第十五条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高等学校受理机构认为举报材料符合条件的，应当及时作出受理决定，并通知举报人。不予受理的，应当书面说明理由。</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第十六条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学术不端行为举报受理后，应当交由学校学术委员会按照相关程序组织开展调查。</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学术委员会可委托有关专家就举报内容的合理性、调查的可能性等进行初步审查，并作出是否进入正式调查的决定。</w:t>
      </w:r>
    </w:p>
    <w:p w:rsidR="003C541C" w:rsidRPr="003C541C" w:rsidRDefault="003C541C" w:rsidP="003C541C">
      <w:pPr>
        <w:widowControl/>
        <w:shd w:val="clear" w:color="auto" w:fill="FFFFFF"/>
        <w:spacing w:line="480" w:lineRule="atLeast"/>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决定不进入正式调查的，应当告知举报人。举报人如有新的证据，可以提出异议。异议成立的，应当进入正式调查。</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lastRenderedPageBreak/>
        <w:t>第十七条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高等学校学术委员会决定进入正式调查的，应当通知被举报人。</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被调查行为涉及资助项目的，可以同时通知项目资助方。</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第十八条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高等学校学术委员会应当组成调查组，负责对被举报行为进行调查；但对事实清楚、证据确凿、情节简单的被举报行为，也可以采用简易调查程序，具体办法由学术委员会确定。</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调查组应当不少于３人，必要时应当包括学校纪检、监察机构指派的工作人员，可以邀请同行专家参与调查或者以咨询等方式提供学术判断。</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被调查行为涉及资助项目的，可以邀请项目资助方委派相关专业人员参与调查组。</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第十九条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调查组的组成人员与举报人或者被举报人有合作研究、亲属或者导师学生等直接利害关系的，应当回避。</w:t>
      </w:r>
    </w:p>
    <w:p w:rsidR="003C541C" w:rsidRPr="003C541C" w:rsidRDefault="003C541C" w:rsidP="00EA5472">
      <w:pPr>
        <w:widowControl/>
        <w:shd w:val="clear" w:color="auto" w:fill="FFFFFF"/>
        <w:spacing w:line="480" w:lineRule="atLeast"/>
        <w:ind w:firstLineChars="150" w:firstLine="482"/>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调查可通过查询资料、现场查看、实验检验、询问证人、询问举报人和被举报人等方式进行。调查组认为有必要的，可以委托无利害关系的专家或者第三方专业机构就有关事项进行独立调查或者验证。</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第二十一条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调查组在调查过程中，应当认真听取被举报人的陈述、申辩，对有关事实、理由和证据进行核实；认为必要的，可以采取听证方式。</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lastRenderedPageBreak/>
        <w:t>第二十二条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有关单位和个人应当为调查组开展工作提供必要的便利和协助。</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举报人、被举报人、证人及其他有关人员应当如实回答询问，配合调查，提供相关证据材料，不得隐瞒或者提供虚假信息。</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第二十三条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调查过程中，出现知识产权等争议引发的法律纠纷的，且该争议可能影响行为定性的，应当中止调查，待争议解决后重启调查。</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第二十四条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调查组应当在查清事实的基础上形成调查报告。调查报告应当包括学术不端行为责任人的确认、调查过程、事实认定及理由、调查结论等。</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学术不端行为由多人集体做出的，调查报告中应当区别各责任人在行为中所发挥的作用。</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第二十五条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接触举报材料和参与调查处理的人员，不得向无关人员透露举报人、被举报人个人信息及调查情况。</w:t>
      </w:r>
    </w:p>
    <w:p w:rsidR="003C541C" w:rsidRPr="003C541C" w:rsidRDefault="003C541C" w:rsidP="003C541C">
      <w:pPr>
        <w:widowControl/>
        <w:shd w:val="clear" w:color="auto" w:fill="FFFFFF"/>
        <w:spacing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第四章认定</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第二十六条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高等学校学术委员会应当对调查组提交的调查报告进行审查；必要的，应当听取调查组的汇报。</w:t>
      </w:r>
    </w:p>
    <w:p w:rsidR="003C541C" w:rsidRPr="003C541C" w:rsidRDefault="003C541C" w:rsidP="003C541C">
      <w:pPr>
        <w:widowControl/>
        <w:shd w:val="clear" w:color="auto" w:fill="FFFFFF"/>
        <w:spacing w:line="480" w:lineRule="atLeast"/>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学术委员会可以召开全体会议或者授权专门委员会对被调查行为是否构成学术不端行为以及行为的性质、情节等作出认定结论，并依职权作出处理或建议学校作出相应处理。</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lastRenderedPageBreak/>
        <w:t>第二十七条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经调查，确认被举报人在科学研究及相关活动中有下列行为之一的，应当认定为构成学术不端行为：</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（一）剽窃、抄袭、侵占他人学术成果；</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（二）篡改他人研究成果；</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（三）伪造科研数据、资料、文献、注释，或者捏造事实、编造虚假研究成果；</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（四）未参加研究或创作而在研究成果、学术论文上署名，未经他人许可而不当使用他人署名，虚构合作者共同署名，或者多人共同完成研究而在成果中未注明他人工作、贡献；</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（五）在申报课题、成果、奖励和职务评审评定、申请学位等过程中提供虚假学术信息；</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（六）买卖论文、由他人代写或者为他人代写论文；</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（七）其他根据高等学校或者有关学术组织、相关科研管理机构制定的规则，属于学术不端的行为。</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第二十八条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有学术不端行为且有下列情形之一的，应当认定为情节严重：</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（一）造成恶劣影响的；</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（二）存在利益输送或者利益交换的；</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（三）对举报人进行打击报复的；</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（四）有组织实施学术不端行为的；</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（五）多次实施学术不端行为的；</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lastRenderedPageBreak/>
        <w:t>（六）其他造成严重后果或者恶劣影响的。</w:t>
      </w:r>
    </w:p>
    <w:p w:rsidR="003C541C" w:rsidRPr="003C541C" w:rsidRDefault="003C541C" w:rsidP="003C541C">
      <w:pPr>
        <w:widowControl/>
        <w:shd w:val="clear" w:color="auto" w:fill="FFFFFF"/>
        <w:spacing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第五章</w:t>
      </w:r>
      <w:r w:rsidR="00804490">
        <w:rPr>
          <w:rFonts w:ascii="仿宋_GB2312" w:eastAsia="仿宋_GB2312" w:hAnsi="微软雅黑" w:cs="宋体" w:hint="eastAsia"/>
          <w:b/>
          <w:bCs/>
          <w:kern w:val="0"/>
          <w:sz w:val="32"/>
          <w:szCs w:val="32"/>
        </w:rPr>
        <w:t xml:space="preserve">  </w:t>
      </w:r>
      <w:r w:rsidRPr="003C541C">
        <w:rPr>
          <w:rFonts w:ascii="仿宋_GB2312" w:eastAsia="仿宋_GB2312" w:hAnsi="微软雅黑" w:cs="宋体" w:hint="eastAsia"/>
          <w:b/>
          <w:bCs/>
          <w:kern w:val="0"/>
          <w:sz w:val="32"/>
          <w:szCs w:val="32"/>
        </w:rPr>
        <w:t>处理</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第二十九条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高等学校应当根据学术委员会的认定结论和处理建议，结合行为性质和情节轻重，依职权和规定程序对学术不端行为责任人作出如下处理：</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（一）通报批评；</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（二）终止或者撤销相关的科研项目，并在一定期限内取消申请资格；</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（三）撤销学术奖励或者荣誉称号；</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（四）辞退或解聘；</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（五）法律、法规及规章规定的其他处理措施。</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同时，可以依照有关规定，给予警告、记过、降低岗位等级或者撤职、开除等处分。</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学术不端行为责任人获得有关部门、机构设立的科研项目、学术奖励或者荣誉称号等利益的，学校应当同时向有关主管部门提出处理建议。</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学生有学术不端行为的，还应当按照学生管理的相关规定，给予相应的学籍处分。</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学术不端行为与获得学位有直接关联的，由学位授予单位作暂缓授予学位、不授予学位或者依法撤销学位等处理。</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第三十条</w:t>
      </w:r>
      <w:r w:rsidR="00EA5472">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高等学校对学术不端行为作出处理决定，应当制作处理决定书，载明以下内容：</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lastRenderedPageBreak/>
        <w:t>（一）责任人的基本情况；</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（二）经查证的学术不端行为事实；</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（三）处理意见和依据；</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（四）救济途径和期限；</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（五）其他必要内容。</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第三十一条</w:t>
      </w:r>
      <w:r w:rsidR="00EA5472">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经调查认定，不构成学术不端行为的，根据被举报人申请，高等学校应当通过一定方式为其消除影响、恢复名誉等。</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第三十二条</w:t>
      </w:r>
      <w:r w:rsidR="00EA5472">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参与举报受理、调查和处理的人员违反保密等规定，造成不良影响的，按照有关规定给予处分或其他处理。</w:t>
      </w:r>
    </w:p>
    <w:p w:rsidR="003C541C" w:rsidRPr="003C541C" w:rsidRDefault="003C541C" w:rsidP="003C541C">
      <w:pPr>
        <w:widowControl/>
        <w:shd w:val="clear" w:color="auto" w:fill="FFFFFF"/>
        <w:spacing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第六章</w:t>
      </w:r>
      <w:r w:rsidR="00804490">
        <w:rPr>
          <w:rFonts w:ascii="仿宋_GB2312" w:eastAsia="仿宋_GB2312" w:hAnsi="微软雅黑" w:cs="宋体" w:hint="eastAsia"/>
          <w:b/>
          <w:bCs/>
          <w:kern w:val="0"/>
          <w:sz w:val="32"/>
          <w:szCs w:val="32"/>
        </w:rPr>
        <w:t xml:space="preserve">  </w:t>
      </w:r>
      <w:r w:rsidRPr="003C541C">
        <w:rPr>
          <w:rFonts w:ascii="仿宋_GB2312" w:eastAsia="仿宋_GB2312" w:hAnsi="微软雅黑" w:cs="宋体" w:hint="eastAsia"/>
          <w:b/>
          <w:bCs/>
          <w:kern w:val="0"/>
          <w:sz w:val="32"/>
          <w:szCs w:val="32"/>
        </w:rPr>
        <w:t>复核</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第三十三条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举报人或者学术不端行为责任人对处理决定不服的，可以在收到处理决定之日起30日内，以书面形式向高等学校提出异议或者复核申请。</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异议和复核不影响处理决定的执行。</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lastRenderedPageBreak/>
        <w:t>第三十四条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高等学校收到异议或者复核申请后，应当交由学术委员会组织讨论，并于15日内作出是否受理的决定。</w:t>
      </w:r>
    </w:p>
    <w:p w:rsidR="003C541C" w:rsidRPr="003C541C" w:rsidRDefault="003C541C" w:rsidP="00804490">
      <w:pPr>
        <w:widowControl/>
        <w:shd w:val="clear" w:color="auto" w:fill="FFFFFF"/>
        <w:spacing w:line="480" w:lineRule="atLeast"/>
        <w:ind w:firstLineChars="150" w:firstLine="48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决定受理的，学校或者学术委员会可以另行组织调查组或者委托第三方机构进行调查；决定不予受理的，应当书面通知当事人。</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第三十五条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当事人对复核决定不服，仍以同一事实和理由提出异议或者申请复核的，不予受理；向有关主管部门提出申诉的，按照相关规定执行。</w:t>
      </w:r>
    </w:p>
    <w:p w:rsidR="003C541C" w:rsidRPr="003C541C" w:rsidRDefault="003C541C" w:rsidP="003C541C">
      <w:pPr>
        <w:widowControl/>
        <w:shd w:val="clear" w:color="auto" w:fill="FFFFFF"/>
        <w:spacing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t>第七章</w:t>
      </w:r>
      <w:r w:rsidR="00804490">
        <w:rPr>
          <w:rFonts w:ascii="仿宋_GB2312" w:eastAsia="仿宋_GB2312" w:hAnsi="微软雅黑" w:cs="宋体" w:hint="eastAsia"/>
          <w:b/>
          <w:bCs/>
          <w:kern w:val="0"/>
          <w:sz w:val="32"/>
          <w:szCs w:val="32"/>
        </w:rPr>
        <w:t xml:space="preserve">  </w:t>
      </w:r>
      <w:r w:rsidRPr="003C541C">
        <w:rPr>
          <w:rFonts w:ascii="仿宋_GB2312" w:eastAsia="仿宋_GB2312" w:hAnsi="微软雅黑" w:cs="宋体" w:hint="eastAsia"/>
          <w:b/>
          <w:bCs/>
          <w:kern w:val="0"/>
          <w:sz w:val="32"/>
          <w:szCs w:val="32"/>
        </w:rPr>
        <w:t>监督</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第三十六条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高等学校应当按年度发布学风建设工作报告，并向社会公开，接受社会监督。</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第三十七条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高等学校处理学术不端行为推诿塞责、隐瞒包庇、查处不力的，主管部门可以直接组织或者委托相关机构查处。</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第三十八条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高等学校对本校发生的学术不端行为，未能及时查处并做出公正结论，造成恶劣影响的，主管部门应当追究相关领导的责任，并进行通报。</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高等学校为获得相关利益，有组织实施学术不端行为的，主管部门调查确认后，应当撤销高等学校由此获得的相关权利、项目以及其他利益，并追究学校主要负责人、直接负责人的责任。</w:t>
      </w:r>
    </w:p>
    <w:p w:rsidR="003C541C" w:rsidRPr="003C541C" w:rsidRDefault="003C541C" w:rsidP="003C541C">
      <w:pPr>
        <w:widowControl/>
        <w:shd w:val="clear" w:color="auto" w:fill="FFFFFF"/>
        <w:spacing w:line="480" w:lineRule="atLeast"/>
        <w:jc w:val="center"/>
        <w:rPr>
          <w:rFonts w:ascii="仿宋_GB2312" w:eastAsia="仿宋_GB2312" w:hAnsi="微软雅黑" w:cs="宋体"/>
          <w:kern w:val="0"/>
          <w:sz w:val="32"/>
          <w:szCs w:val="32"/>
        </w:rPr>
      </w:pPr>
      <w:r w:rsidRPr="003C541C">
        <w:rPr>
          <w:rFonts w:ascii="仿宋_GB2312" w:eastAsia="仿宋_GB2312" w:hAnsi="微软雅黑" w:cs="宋体" w:hint="eastAsia"/>
          <w:b/>
          <w:bCs/>
          <w:kern w:val="0"/>
          <w:sz w:val="32"/>
          <w:szCs w:val="32"/>
        </w:rPr>
        <w:lastRenderedPageBreak/>
        <w:t>第八章</w:t>
      </w:r>
      <w:r w:rsidR="00804490">
        <w:rPr>
          <w:rFonts w:ascii="仿宋_GB2312" w:eastAsia="仿宋_GB2312" w:hAnsi="微软雅黑" w:cs="宋体" w:hint="eastAsia"/>
          <w:b/>
          <w:bCs/>
          <w:kern w:val="0"/>
          <w:sz w:val="32"/>
          <w:szCs w:val="32"/>
        </w:rPr>
        <w:t xml:space="preserve">  </w:t>
      </w:r>
      <w:r w:rsidRPr="003C541C">
        <w:rPr>
          <w:rFonts w:ascii="仿宋_GB2312" w:eastAsia="仿宋_GB2312" w:hAnsi="微软雅黑" w:cs="宋体" w:hint="eastAsia"/>
          <w:b/>
          <w:bCs/>
          <w:kern w:val="0"/>
          <w:sz w:val="32"/>
          <w:szCs w:val="32"/>
        </w:rPr>
        <w:t>附则</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第三十九条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高等学校应当根据本办法，结合学校实际和学科特点，制定本校学术不端行为查处规则及处理办法，明确各类学术不端行为的惩处标准。有关规则应当经学校学术委员会和教职工代表大会讨论通过。</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第四十条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高等学校主管部门对直接受理的学术不端案件，可自行组织调查组或者指定、委托高等学校、有关机构组织调查、认定。对学术不端行为责任人的处理，根据本办法及国家有关规定执行。</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教育系统所属科研机构及其他单位有关人员学术不端行为的调查与处理，可参照本办法执行。</w:t>
      </w:r>
    </w:p>
    <w:p w:rsidR="003C541C" w:rsidRPr="003C541C" w:rsidRDefault="003C541C" w:rsidP="00EA5472">
      <w:pPr>
        <w:widowControl/>
        <w:shd w:val="clear" w:color="auto" w:fill="FFFFFF"/>
        <w:spacing w:line="480" w:lineRule="atLeast"/>
        <w:ind w:firstLineChars="200" w:firstLine="643"/>
        <w:jc w:val="left"/>
        <w:rPr>
          <w:rFonts w:ascii="仿宋_GB2312" w:eastAsia="仿宋_GB2312" w:hAnsi="微软雅黑" w:cs="宋体"/>
          <w:kern w:val="0"/>
          <w:sz w:val="32"/>
          <w:szCs w:val="32"/>
        </w:rPr>
      </w:pPr>
      <w:r w:rsidRPr="00EA5472">
        <w:rPr>
          <w:rFonts w:ascii="仿宋_GB2312" w:eastAsia="仿宋_GB2312" w:hAnsi="微软雅黑" w:cs="宋体" w:hint="eastAsia"/>
          <w:b/>
          <w:kern w:val="0"/>
          <w:sz w:val="32"/>
          <w:szCs w:val="32"/>
        </w:rPr>
        <w:t>第四十一条</w:t>
      </w:r>
      <w:r w:rsidR="00804490">
        <w:rPr>
          <w:rFonts w:ascii="仿宋_GB2312" w:eastAsia="仿宋_GB2312" w:hAnsi="微软雅黑" w:cs="宋体" w:hint="eastAsia"/>
          <w:kern w:val="0"/>
          <w:sz w:val="32"/>
          <w:szCs w:val="32"/>
        </w:rPr>
        <w:t xml:space="preserve">  </w:t>
      </w:r>
      <w:r w:rsidRPr="003C541C">
        <w:rPr>
          <w:rFonts w:ascii="仿宋_GB2312" w:eastAsia="仿宋_GB2312" w:hAnsi="微软雅黑" w:cs="宋体" w:hint="eastAsia"/>
          <w:kern w:val="0"/>
          <w:sz w:val="32"/>
          <w:szCs w:val="32"/>
        </w:rPr>
        <w:t>本办法自2016年9月1日起施行。</w:t>
      </w:r>
    </w:p>
    <w:p w:rsidR="003C541C" w:rsidRPr="003C541C" w:rsidRDefault="003C541C" w:rsidP="00804490">
      <w:pPr>
        <w:widowControl/>
        <w:shd w:val="clear" w:color="auto" w:fill="FFFFFF"/>
        <w:spacing w:line="480" w:lineRule="atLeast"/>
        <w:ind w:firstLineChars="200" w:firstLine="640"/>
        <w:jc w:val="left"/>
        <w:rPr>
          <w:rFonts w:ascii="仿宋_GB2312" w:eastAsia="仿宋_GB2312" w:hAnsi="微软雅黑" w:cs="宋体"/>
          <w:kern w:val="0"/>
          <w:sz w:val="32"/>
          <w:szCs w:val="32"/>
        </w:rPr>
      </w:pPr>
      <w:r w:rsidRPr="003C541C">
        <w:rPr>
          <w:rFonts w:ascii="仿宋_GB2312" w:eastAsia="仿宋_GB2312" w:hAnsi="微软雅黑" w:cs="宋体" w:hint="eastAsia"/>
          <w:kern w:val="0"/>
          <w:sz w:val="32"/>
          <w:szCs w:val="32"/>
        </w:rPr>
        <w:t>教育部此前发布的有关规章、文件中的相关规定与本办法不一致的，以本办法为准。</w:t>
      </w:r>
    </w:p>
    <w:p w:rsidR="006C3FE1" w:rsidRPr="003C541C" w:rsidRDefault="006C3FE1">
      <w:pPr>
        <w:rPr>
          <w:rFonts w:ascii="仿宋_GB2312" w:eastAsia="仿宋_GB2312"/>
          <w:sz w:val="32"/>
          <w:szCs w:val="32"/>
        </w:rPr>
      </w:pPr>
    </w:p>
    <w:sectPr w:rsidR="006C3FE1" w:rsidRPr="003C541C" w:rsidSect="002223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B97" w:rsidRDefault="00823B97" w:rsidP="003C541C">
      <w:r>
        <w:separator/>
      </w:r>
    </w:p>
  </w:endnote>
  <w:endnote w:type="continuationSeparator" w:id="1">
    <w:p w:rsidR="00823B97" w:rsidRDefault="00823B97" w:rsidP="003C5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B97" w:rsidRDefault="00823B97" w:rsidP="003C541C">
      <w:r>
        <w:separator/>
      </w:r>
    </w:p>
  </w:footnote>
  <w:footnote w:type="continuationSeparator" w:id="1">
    <w:p w:rsidR="00823B97" w:rsidRDefault="00823B97" w:rsidP="003C54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621"/>
    <w:multiLevelType w:val="hybridMultilevel"/>
    <w:tmpl w:val="B492C7F8"/>
    <w:lvl w:ilvl="0" w:tplc="A2506E3E">
      <w:start w:val="1"/>
      <w:numFmt w:val="japaneseCounting"/>
      <w:lvlText w:val="第%1条"/>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7571BB3"/>
    <w:multiLevelType w:val="hybridMultilevel"/>
    <w:tmpl w:val="34AE3F56"/>
    <w:lvl w:ilvl="0" w:tplc="1724FF20">
      <w:start w:val="1"/>
      <w:numFmt w:val="japaneseCounting"/>
      <w:lvlText w:val="%1"/>
      <w:lvlJc w:val="left"/>
      <w:pPr>
        <w:ind w:left="520" w:hanging="360"/>
      </w:pPr>
      <w:rPr>
        <w:rFonts w:hint="default"/>
        <w:b/>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541C"/>
    <w:rsid w:val="00222341"/>
    <w:rsid w:val="003C541C"/>
    <w:rsid w:val="006C3FE1"/>
    <w:rsid w:val="00804490"/>
    <w:rsid w:val="00823B97"/>
    <w:rsid w:val="00EA5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5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541C"/>
    <w:rPr>
      <w:sz w:val="18"/>
      <w:szCs w:val="18"/>
    </w:rPr>
  </w:style>
  <w:style w:type="paragraph" w:styleId="a4">
    <w:name w:val="footer"/>
    <w:basedOn w:val="a"/>
    <w:link w:val="Char0"/>
    <w:uiPriority w:val="99"/>
    <w:semiHidden/>
    <w:unhideWhenUsed/>
    <w:rsid w:val="003C54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541C"/>
    <w:rPr>
      <w:sz w:val="18"/>
      <w:szCs w:val="18"/>
    </w:rPr>
  </w:style>
  <w:style w:type="character" w:styleId="a5">
    <w:name w:val="Strong"/>
    <w:basedOn w:val="a0"/>
    <w:uiPriority w:val="22"/>
    <w:qFormat/>
    <w:rsid w:val="003C541C"/>
    <w:rPr>
      <w:b/>
      <w:bCs/>
    </w:rPr>
  </w:style>
  <w:style w:type="paragraph" w:styleId="a6">
    <w:name w:val="List Paragraph"/>
    <w:basedOn w:val="a"/>
    <w:uiPriority w:val="34"/>
    <w:qFormat/>
    <w:rsid w:val="003C541C"/>
    <w:pPr>
      <w:ind w:firstLineChars="200" w:firstLine="420"/>
    </w:pPr>
  </w:style>
</w:styles>
</file>

<file path=word/webSettings.xml><?xml version="1.0" encoding="utf-8"?>
<w:webSettings xmlns:r="http://schemas.openxmlformats.org/officeDocument/2006/relationships" xmlns:w="http://schemas.openxmlformats.org/wordprocessingml/2006/main">
  <w:divs>
    <w:div w:id="200441077">
      <w:bodyDiv w:val="1"/>
      <w:marLeft w:val="0"/>
      <w:marRight w:val="0"/>
      <w:marTop w:val="0"/>
      <w:marBottom w:val="0"/>
      <w:divBdr>
        <w:top w:val="none" w:sz="0" w:space="0" w:color="auto"/>
        <w:left w:val="none" w:sz="0" w:space="0" w:color="auto"/>
        <w:bottom w:val="none" w:sz="0" w:space="0" w:color="auto"/>
        <w:right w:val="none" w:sz="0" w:space="0" w:color="auto"/>
      </w:divBdr>
      <w:divsChild>
        <w:div w:id="197671757">
          <w:marLeft w:val="0"/>
          <w:marRight w:val="0"/>
          <w:marTop w:val="0"/>
          <w:marBottom w:val="0"/>
          <w:divBdr>
            <w:top w:val="none" w:sz="0" w:space="0" w:color="auto"/>
            <w:left w:val="none" w:sz="0" w:space="0" w:color="auto"/>
            <w:bottom w:val="none" w:sz="0" w:space="0" w:color="auto"/>
            <w:right w:val="none" w:sz="0" w:space="0" w:color="auto"/>
          </w:divBdr>
          <w:divsChild>
            <w:div w:id="319816981">
              <w:marLeft w:val="0"/>
              <w:marRight w:val="0"/>
              <w:marTop w:val="0"/>
              <w:marBottom w:val="0"/>
              <w:divBdr>
                <w:top w:val="single" w:sz="6" w:space="31" w:color="BCBCBC"/>
                <w:left w:val="single" w:sz="6" w:space="31" w:color="BCBCBC"/>
                <w:bottom w:val="single" w:sz="6" w:space="15" w:color="BCBCBC"/>
                <w:right w:val="single" w:sz="6" w:space="31" w:color="BCBCBC"/>
              </w:divBdr>
              <w:divsChild>
                <w:div w:id="1022895427">
                  <w:marLeft w:val="0"/>
                  <w:marRight w:val="0"/>
                  <w:marTop w:val="0"/>
                  <w:marBottom w:val="0"/>
                  <w:divBdr>
                    <w:top w:val="none" w:sz="0" w:space="0" w:color="auto"/>
                    <w:left w:val="none" w:sz="0" w:space="0" w:color="auto"/>
                    <w:bottom w:val="none" w:sz="0" w:space="0" w:color="auto"/>
                    <w:right w:val="none" w:sz="0" w:space="0" w:color="auto"/>
                  </w:divBdr>
                  <w:divsChild>
                    <w:div w:id="1850363035">
                      <w:marLeft w:val="0"/>
                      <w:marRight w:val="0"/>
                      <w:marTop w:val="450"/>
                      <w:marBottom w:val="0"/>
                      <w:divBdr>
                        <w:top w:val="none" w:sz="0" w:space="0" w:color="auto"/>
                        <w:left w:val="none" w:sz="0" w:space="0" w:color="auto"/>
                        <w:bottom w:val="none" w:sz="0" w:space="0" w:color="auto"/>
                        <w:right w:val="none" w:sz="0" w:space="0" w:color="auto"/>
                      </w:divBdr>
                    </w:div>
                    <w:div w:id="17016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1FA0-2FB8-4F2B-90EB-7E721B26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690</Words>
  <Characters>3934</Characters>
  <Application>Microsoft Office Word</Application>
  <DocSecurity>0</DocSecurity>
  <Lines>32</Lines>
  <Paragraphs>9</Paragraphs>
  <ScaleCrop>false</ScaleCrop>
  <Company>china</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2016-09-08T09:30:00Z</dcterms:created>
  <dcterms:modified xsi:type="dcterms:W3CDTF">2016-09-12T06:56:00Z</dcterms:modified>
</cp:coreProperties>
</file>