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59650D"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服装制作实训室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59650D">
        <w:rPr>
          <w:rFonts w:ascii="宋体" w:eastAsia="宋体" w:hAnsi="宋体" w:cs="宋体" w:hint="eastAsia"/>
          <w:color w:val="222222"/>
          <w:sz w:val="24"/>
          <w:szCs w:val="24"/>
        </w:rPr>
        <w:t>服装制作实训室缝纫</w:t>
      </w:r>
      <w:r w:rsidRPr="00D8050A">
        <w:rPr>
          <w:rFonts w:ascii="宋体" w:eastAsia="宋体" w:hAnsi="宋体" w:cs="宋体" w:hint="eastAsia"/>
          <w:color w:val="222222"/>
          <w:sz w:val="24"/>
          <w:szCs w:val="24"/>
        </w:rPr>
        <w:t>设备</w:t>
      </w:r>
      <w:r w:rsidR="00FC73F2">
        <w:rPr>
          <w:rFonts w:ascii="宋体" w:eastAsia="宋体" w:hAnsi="宋体" w:cs="宋体" w:hint="eastAsia"/>
          <w:color w:val="222222"/>
          <w:sz w:val="24"/>
          <w:szCs w:val="24"/>
        </w:rPr>
        <w:t>、家具</w:t>
      </w:r>
      <w:r w:rsidR="0059650D">
        <w:rPr>
          <w:rFonts w:ascii="宋体" w:eastAsia="宋体" w:hAnsi="宋体" w:cs="宋体" w:hint="eastAsia"/>
          <w:color w:val="222222"/>
          <w:sz w:val="24"/>
          <w:szCs w:val="24"/>
        </w:rPr>
        <w:t>等</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59650D">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59650D">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FC73F2">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（三）定标：在监督机构的监督下，招标组根据专家组的评议意见及投标供货商的基本情况、信誉、设备报价、技术支持、服务承诺等确定中标供货商；</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FC73F2">
      <w:pPr>
        <w:adjustRightInd/>
        <w:snapToGrid/>
        <w:spacing w:after="0" w:line="440" w:lineRule="atLeast"/>
        <w:ind w:firstLine="560"/>
        <w:rPr>
          <w:rFonts w:ascii="宋体" w:eastAsia="宋体" w:hAnsi="宋体" w:cs="宋体"/>
          <w:color w:val="333333"/>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266"/>
        <w:gridCol w:w="2140"/>
        <w:gridCol w:w="992"/>
        <w:gridCol w:w="851"/>
        <w:gridCol w:w="992"/>
        <w:gridCol w:w="992"/>
      </w:tblGrid>
      <w:tr w:rsidR="00ED3652" w:rsidRPr="00751BC1" w:rsidTr="005D3160">
        <w:trPr>
          <w:trHeight w:val="924"/>
        </w:trPr>
        <w:tc>
          <w:tcPr>
            <w:tcW w:w="705" w:type="dxa"/>
            <w:vAlign w:val="center"/>
          </w:tcPr>
          <w:p w:rsidR="00ED3652" w:rsidRPr="00751BC1" w:rsidRDefault="00ED3652" w:rsidP="005D3160">
            <w:pPr>
              <w:jc w:val="center"/>
              <w:rPr>
                <w:rFonts w:ascii="Times New Roman" w:hAnsi="Times New Roman"/>
                <w:b/>
                <w:bCs/>
                <w:sz w:val="24"/>
              </w:rPr>
            </w:pPr>
            <w:r>
              <w:rPr>
                <w:rFonts w:ascii="Times New Roman" w:hAnsi="Times New Roman" w:hint="eastAsia"/>
                <w:b/>
                <w:bCs/>
                <w:sz w:val="24"/>
              </w:rPr>
              <w:t>序号</w:t>
            </w:r>
          </w:p>
        </w:tc>
        <w:tc>
          <w:tcPr>
            <w:tcW w:w="1266" w:type="dxa"/>
            <w:vAlign w:val="center"/>
          </w:tcPr>
          <w:p w:rsidR="00ED3652" w:rsidRPr="00751BC1" w:rsidRDefault="00ED3652" w:rsidP="005D3160">
            <w:pPr>
              <w:jc w:val="center"/>
              <w:rPr>
                <w:rFonts w:ascii="Times New Roman" w:hAnsi="Times New Roman"/>
                <w:b/>
                <w:bCs/>
                <w:sz w:val="24"/>
              </w:rPr>
            </w:pPr>
            <w:r>
              <w:rPr>
                <w:rFonts w:ascii="Times New Roman" w:hAnsi="Times New Roman" w:hint="eastAsia"/>
                <w:b/>
                <w:bCs/>
                <w:sz w:val="24"/>
              </w:rPr>
              <w:t>设备软件</w:t>
            </w:r>
          </w:p>
        </w:tc>
        <w:tc>
          <w:tcPr>
            <w:tcW w:w="2140" w:type="dxa"/>
            <w:vAlign w:val="center"/>
          </w:tcPr>
          <w:p w:rsidR="00ED3652" w:rsidRPr="00751BC1" w:rsidRDefault="00ED3652" w:rsidP="005D3160">
            <w:pPr>
              <w:jc w:val="center"/>
              <w:rPr>
                <w:rFonts w:ascii="Times New Roman" w:hAnsi="Times New Roman"/>
                <w:b/>
                <w:bCs/>
                <w:sz w:val="24"/>
              </w:rPr>
            </w:pPr>
            <w:r>
              <w:rPr>
                <w:rFonts w:ascii="Times New Roman" w:hAnsi="Times New Roman" w:hint="eastAsia"/>
                <w:b/>
                <w:bCs/>
                <w:sz w:val="24"/>
              </w:rPr>
              <w:t>规格需求</w:t>
            </w:r>
          </w:p>
        </w:tc>
        <w:tc>
          <w:tcPr>
            <w:tcW w:w="992" w:type="dxa"/>
            <w:vAlign w:val="center"/>
          </w:tcPr>
          <w:p w:rsidR="00ED3652" w:rsidRPr="00751BC1" w:rsidRDefault="00ED3652" w:rsidP="005D3160">
            <w:pPr>
              <w:jc w:val="center"/>
              <w:rPr>
                <w:rFonts w:ascii="Times New Roman" w:hAnsi="Times New Roman"/>
                <w:b/>
                <w:bCs/>
                <w:sz w:val="24"/>
              </w:rPr>
            </w:pPr>
            <w:r w:rsidRPr="00751BC1">
              <w:rPr>
                <w:rFonts w:ascii="Times New Roman" w:hAnsi="Times New Roman"/>
                <w:b/>
                <w:bCs/>
                <w:sz w:val="24"/>
              </w:rPr>
              <w:t>数量</w:t>
            </w:r>
          </w:p>
        </w:tc>
        <w:tc>
          <w:tcPr>
            <w:tcW w:w="851" w:type="dxa"/>
            <w:vAlign w:val="center"/>
          </w:tcPr>
          <w:p w:rsidR="00ED3652" w:rsidRPr="00751BC1" w:rsidRDefault="00ED3652" w:rsidP="005D3160">
            <w:pPr>
              <w:jc w:val="center"/>
              <w:rPr>
                <w:rFonts w:ascii="Times New Roman" w:hAnsi="Times New Roman"/>
                <w:b/>
                <w:bCs/>
                <w:sz w:val="24"/>
              </w:rPr>
            </w:pPr>
            <w:r>
              <w:rPr>
                <w:rFonts w:ascii="Times New Roman" w:hAnsi="Times New Roman" w:hint="eastAsia"/>
                <w:b/>
                <w:bCs/>
                <w:sz w:val="24"/>
              </w:rPr>
              <w:t>单位</w:t>
            </w:r>
          </w:p>
        </w:tc>
        <w:tc>
          <w:tcPr>
            <w:tcW w:w="992" w:type="dxa"/>
            <w:vAlign w:val="center"/>
          </w:tcPr>
          <w:p w:rsidR="00ED3652" w:rsidRPr="00751BC1" w:rsidRDefault="00ED3652" w:rsidP="005D3160">
            <w:pPr>
              <w:jc w:val="center"/>
              <w:rPr>
                <w:rFonts w:ascii="Times New Roman" w:hAnsi="Times New Roman"/>
                <w:b/>
                <w:bCs/>
                <w:sz w:val="24"/>
              </w:rPr>
            </w:pPr>
            <w:r w:rsidRPr="00751BC1">
              <w:rPr>
                <w:rFonts w:ascii="Times New Roman" w:hAnsi="Times New Roman"/>
                <w:b/>
                <w:bCs/>
                <w:sz w:val="24"/>
              </w:rPr>
              <w:t>单价</w:t>
            </w:r>
          </w:p>
        </w:tc>
        <w:tc>
          <w:tcPr>
            <w:tcW w:w="992" w:type="dxa"/>
            <w:vAlign w:val="center"/>
          </w:tcPr>
          <w:p w:rsidR="00ED3652" w:rsidRPr="00751BC1" w:rsidRDefault="00ED3652" w:rsidP="005D3160">
            <w:pPr>
              <w:jc w:val="center"/>
              <w:rPr>
                <w:rFonts w:ascii="Times New Roman" w:hAnsi="Times New Roman"/>
                <w:b/>
                <w:bCs/>
                <w:sz w:val="24"/>
              </w:rPr>
            </w:pPr>
            <w:r>
              <w:rPr>
                <w:rFonts w:ascii="Times New Roman" w:hAnsi="Times New Roman" w:hint="eastAsia"/>
                <w:b/>
                <w:bCs/>
                <w:sz w:val="24"/>
              </w:rPr>
              <w:t>备注</w:t>
            </w:r>
          </w:p>
        </w:tc>
      </w:tr>
      <w:tr w:rsidR="00ED3652" w:rsidRPr="00751BC1" w:rsidTr="00C66F49">
        <w:trPr>
          <w:trHeight w:val="264"/>
        </w:trPr>
        <w:tc>
          <w:tcPr>
            <w:tcW w:w="705" w:type="dxa"/>
            <w:vAlign w:val="center"/>
          </w:tcPr>
          <w:p w:rsidR="00ED3652" w:rsidRPr="002908E5" w:rsidRDefault="00ED3652" w:rsidP="00ED3652">
            <w:pPr>
              <w:jc w:val="center"/>
              <w:rPr>
                <w:rFonts w:ascii="宋体" w:hAnsi="宋体" w:cs="宋体"/>
                <w:color w:val="000000"/>
                <w:szCs w:val="21"/>
              </w:rPr>
            </w:pPr>
            <w:r>
              <w:rPr>
                <w:rFonts w:ascii="宋体" w:hAnsi="宋体" w:cs="宋体" w:hint="eastAsia"/>
                <w:color w:val="000000"/>
                <w:szCs w:val="21"/>
              </w:rPr>
              <w:t>1</w:t>
            </w:r>
          </w:p>
        </w:tc>
        <w:tc>
          <w:tcPr>
            <w:tcW w:w="1266" w:type="dxa"/>
            <w:vAlign w:val="center"/>
          </w:tcPr>
          <w:p w:rsidR="00ED3652" w:rsidRPr="002908E5" w:rsidRDefault="00ED3652" w:rsidP="00ED3652">
            <w:pPr>
              <w:spacing w:line="360" w:lineRule="auto"/>
              <w:jc w:val="center"/>
              <w:rPr>
                <w:rFonts w:ascii="宋体" w:hAnsi="宋体" w:cs="宋体"/>
                <w:color w:val="000000"/>
                <w:szCs w:val="21"/>
              </w:rPr>
            </w:pPr>
            <w:r w:rsidRPr="00EA26AF">
              <w:rPr>
                <w:rFonts w:ascii="宋体" w:hAnsi="宋体" w:cs="宋体" w:hint="eastAsia"/>
                <w:color w:val="000000"/>
                <w:szCs w:val="21"/>
              </w:rPr>
              <w:t>电脑自动剪线平缝机</w:t>
            </w:r>
          </w:p>
        </w:tc>
        <w:tc>
          <w:tcPr>
            <w:tcW w:w="2140" w:type="dxa"/>
            <w:vAlign w:val="center"/>
          </w:tcPr>
          <w:p w:rsidR="00ED3652" w:rsidRDefault="00ED3652" w:rsidP="00C66F49">
            <w:pPr>
              <w:jc w:val="both"/>
              <w:rPr>
                <w:color w:val="000000"/>
                <w:szCs w:val="21"/>
              </w:rPr>
            </w:pPr>
            <w:r>
              <w:rPr>
                <w:rFonts w:hint="eastAsia"/>
                <w:color w:val="000000"/>
                <w:szCs w:val="21"/>
              </w:rPr>
              <w:t>中厚料</w:t>
            </w:r>
            <w:r w:rsidR="00C66F49">
              <w:rPr>
                <w:rFonts w:hint="eastAsia"/>
                <w:color w:val="000000"/>
                <w:szCs w:val="21"/>
              </w:rPr>
              <w:t>，具有直接驱动式系统的畅快缝纫。</w:t>
            </w:r>
          </w:p>
        </w:tc>
        <w:tc>
          <w:tcPr>
            <w:tcW w:w="992" w:type="dxa"/>
            <w:vAlign w:val="center"/>
          </w:tcPr>
          <w:p w:rsidR="00ED3652" w:rsidRPr="002908E5" w:rsidRDefault="00ED3652" w:rsidP="00ED3652">
            <w:pPr>
              <w:jc w:val="center"/>
              <w:rPr>
                <w:color w:val="000000"/>
                <w:szCs w:val="21"/>
              </w:rPr>
            </w:pPr>
            <w:r>
              <w:rPr>
                <w:rFonts w:hint="eastAsia"/>
                <w:color w:val="000000"/>
                <w:szCs w:val="21"/>
              </w:rPr>
              <w:t>31</w:t>
            </w:r>
          </w:p>
        </w:tc>
        <w:tc>
          <w:tcPr>
            <w:tcW w:w="851" w:type="dxa"/>
            <w:vAlign w:val="center"/>
          </w:tcPr>
          <w:p w:rsidR="00ED3652" w:rsidRDefault="00ED3652" w:rsidP="00ED3652">
            <w:pPr>
              <w:jc w:val="center"/>
              <w:rPr>
                <w:color w:val="000000"/>
                <w:szCs w:val="21"/>
              </w:rPr>
            </w:pPr>
            <w:r>
              <w:rPr>
                <w:rFonts w:hint="eastAsia"/>
                <w:color w:val="000000"/>
                <w:szCs w:val="21"/>
              </w:rPr>
              <w:t>套</w:t>
            </w:r>
          </w:p>
        </w:tc>
        <w:tc>
          <w:tcPr>
            <w:tcW w:w="992" w:type="dxa"/>
            <w:vAlign w:val="center"/>
          </w:tcPr>
          <w:p w:rsidR="00ED3652" w:rsidRPr="002908E5" w:rsidRDefault="00ED3652" w:rsidP="00ED3652">
            <w:pPr>
              <w:jc w:val="center"/>
              <w:rPr>
                <w:color w:val="000000"/>
                <w:szCs w:val="21"/>
              </w:rPr>
            </w:pPr>
          </w:p>
        </w:tc>
        <w:tc>
          <w:tcPr>
            <w:tcW w:w="992" w:type="dxa"/>
            <w:vAlign w:val="center"/>
          </w:tcPr>
          <w:p w:rsidR="00ED3652" w:rsidRPr="002908E5" w:rsidRDefault="00ED3652" w:rsidP="00ED3652">
            <w:pPr>
              <w:jc w:val="center"/>
              <w:rPr>
                <w:color w:val="000000"/>
                <w:szCs w:val="21"/>
              </w:rPr>
            </w:pPr>
          </w:p>
        </w:tc>
      </w:tr>
      <w:tr w:rsidR="00ED3652" w:rsidRPr="00751BC1" w:rsidTr="00ED3652">
        <w:trPr>
          <w:trHeight w:val="1359"/>
        </w:trPr>
        <w:tc>
          <w:tcPr>
            <w:tcW w:w="705" w:type="dxa"/>
            <w:vAlign w:val="center"/>
          </w:tcPr>
          <w:p w:rsidR="00ED3652" w:rsidRPr="007769F1" w:rsidRDefault="00ED3652" w:rsidP="00ED3652">
            <w:pPr>
              <w:jc w:val="center"/>
              <w:rPr>
                <w:rFonts w:ascii="微软雅黑" w:hAnsi="微软雅黑" w:cs="宋体"/>
                <w:color w:val="000000"/>
                <w:szCs w:val="21"/>
              </w:rPr>
            </w:pPr>
            <w:r w:rsidRPr="007769F1">
              <w:rPr>
                <w:rFonts w:ascii="微软雅黑" w:hAnsi="微软雅黑" w:cs="宋体" w:hint="eastAsia"/>
                <w:color w:val="000000"/>
                <w:szCs w:val="21"/>
              </w:rPr>
              <w:t>2</w:t>
            </w:r>
          </w:p>
        </w:tc>
        <w:tc>
          <w:tcPr>
            <w:tcW w:w="1266" w:type="dxa"/>
            <w:vAlign w:val="center"/>
          </w:tcPr>
          <w:p w:rsidR="00ED3652" w:rsidRPr="007769F1" w:rsidRDefault="00ED3652" w:rsidP="00ED3652">
            <w:pPr>
              <w:spacing w:line="360" w:lineRule="auto"/>
              <w:jc w:val="center"/>
              <w:rPr>
                <w:rFonts w:ascii="微软雅黑" w:hAnsi="微软雅黑" w:cs="宋体"/>
                <w:color w:val="000000"/>
                <w:szCs w:val="21"/>
              </w:rPr>
            </w:pPr>
            <w:r w:rsidRPr="007769F1">
              <w:rPr>
                <w:rFonts w:ascii="微软雅黑" w:hAnsi="微软雅黑" w:cs="宋体" w:hint="eastAsia"/>
                <w:color w:val="000000"/>
                <w:szCs w:val="21"/>
              </w:rPr>
              <w:t>教学桌椅</w:t>
            </w:r>
          </w:p>
        </w:tc>
        <w:tc>
          <w:tcPr>
            <w:tcW w:w="2140" w:type="dxa"/>
            <w:vAlign w:val="center"/>
          </w:tcPr>
          <w:p w:rsidR="00ED3652" w:rsidRPr="007769F1" w:rsidRDefault="007769F1" w:rsidP="00ED3652">
            <w:pPr>
              <w:jc w:val="center"/>
              <w:rPr>
                <w:rFonts w:ascii="仿宋" w:eastAsia="仿宋" w:hAnsi="仿宋"/>
                <w:color w:val="000000"/>
                <w:szCs w:val="21"/>
              </w:rPr>
            </w:pPr>
            <w:r w:rsidRPr="007769F1">
              <w:rPr>
                <w:rFonts w:ascii="仿宋" w:eastAsia="仿宋" w:hAnsi="仿宋" w:hint="eastAsia"/>
                <w:color w:val="000000"/>
                <w:szCs w:val="21"/>
              </w:rPr>
              <w:t>可满足教学需求</w:t>
            </w:r>
          </w:p>
        </w:tc>
        <w:tc>
          <w:tcPr>
            <w:tcW w:w="992" w:type="dxa"/>
            <w:vAlign w:val="center"/>
          </w:tcPr>
          <w:p w:rsidR="00ED3652" w:rsidRPr="002908E5" w:rsidRDefault="00ED3652" w:rsidP="00ED3652">
            <w:pPr>
              <w:jc w:val="center"/>
              <w:rPr>
                <w:color w:val="000000"/>
                <w:szCs w:val="21"/>
              </w:rPr>
            </w:pPr>
            <w:r>
              <w:rPr>
                <w:rFonts w:hint="eastAsia"/>
                <w:color w:val="000000"/>
                <w:szCs w:val="21"/>
              </w:rPr>
              <w:t>31</w:t>
            </w:r>
          </w:p>
        </w:tc>
        <w:tc>
          <w:tcPr>
            <w:tcW w:w="851" w:type="dxa"/>
            <w:vAlign w:val="center"/>
          </w:tcPr>
          <w:p w:rsidR="00ED3652" w:rsidRDefault="00ED3652" w:rsidP="00ED3652">
            <w:pPr>
              <w:jc w:val="center"/>
              <w:rPr>
                <w:color w:val="000000"/>
                <w:szCs w:val="21"/>
              </w:rPr>
            </w:pPr>
            <w:r>
              <w:rPr>
                <w:rFonts w:hint="eastAsia"/>
                <w:color w:val="000000"/>
                <w:szCs w:val="21"/>
              </w:rPr>
              <w:t>套</w:t>
            </w:r>
          </w:p>
        </w:tc>
        <w:tc>
          <w:tcPr>
            <w:tcW w:w="992" w:type="dxa"/>
            <w:vAlign w:val="center"/>
          </w:tcPr>
          <w:p w:rsidR="00ED3652" w:rsidRPr="002908E5" w:rsidRDefault="00ED3652" w:rsidP="00ED3652">
            <w:pPr>
              <w:jc w:val="center"/>
              <w:rPr>
                <w:color w:val="000000"/>
                <w:szCs w:val="21"/>
              </w:rPr>
            </w:pPr>
          </w:p>
        </w:tc>
        <w:tc>
          <w:tcPr>
            <w:tcW w:w="992" w:type="dxa"/>
            <w:vAlign w:val="center"/>
          </w:tcPr>
          <w:p w:rsidR="00ED3652" w:rsidRPr="002908E5" w:rsidRDefault="00ED3652" w:rsidP="00ED3652">
            <w:pPr>
              <w:jc w:val="center"/>
              <w:rPr>
                <w:color w:val="000000"/>
                <w:szCs w:val="21"/>
              </w:rPr>
            </w:pPr>
          </w:p>
        </w:tc>
      </w:tr>
      <w:tr w:rsidR="00ED3652" w:rsidRPr="00751BC1" w:rsidTr="00ED3652">
        <w:trPr>
          <w:trHeight w:val="718"/>
        </w:trPr>
        <w:tc>
          <w:tcPr>
            <w:tcW w:w="7938" w:type="dxa"/>
            <w:gridSpan w:val="7"/>
            <w:vAlign w:val="center"/>
          </w:tcPr>
          <w:p w:rsidR="00ED3652" w:rsidRPr="00C5577E" w:rsidRDefault="00ED3652" w:rsidP="00ED3652">
            <w:pPr>
              <w:jc w:val="both"/>
              <w:rPr>
                <w:rFonts w:ascii="仿宋" w:eastAsia="仿宋" w:hAnsi="仿宋"/>
                <w:color w:val="000000"/>
                <w:szCs w:val="21"/>
              </w:rPr>
            </w:pPr>
            <w:r w:rsidRPr="00C5577E">
              <w:rPr>
                <w:rFonts w:ascii="仿宋" w:eastAsia="仿宋" w:hAnsi="仿宋" w:hint="eastAsia"/>
                <w:color w:val="000000"/>
                <w:szCs w:val="21"/>
              </w:rPr>
              <w:t>备注：</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lastRenderedPageBreak/>
        <w:t>以上价格为综合报价，包含设计、制作、运输、安装、调试、税金、售后服务费等一切费用。</w:t>
      </w:r>
      <w:r w:rsidR="00FC73F2">
        <w:rPr>
          <w:rFonts w:ascii="宋体" w:eastAsia="宋体" w:hAnsi="宋体" w:cs="宋体" w:hint="eastAsia"/>
          <w:b/>
          <w:bCs/>
          <w:color w:val="222222"/>
          <w:sz w:val="24"/>
          <w:szCs w:val="24"/>
        </w:rPr>
        <w:t>家具与设备可分开投标。</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1F0" w:rsidRDefault="00B711F0" w:rsidP="00435E36">
      <w:pPr>
        <w:spacing w:after="0"/>
      </w:pPr>
      <w:r>
        <w:separator/>
      </w:r>
    </w:p>
  </w:endnote>
  <w:endnote w:type="continuationSeparator" w:id="0">
    <w:p w:rsidR="00B711F0" w:rsidRDefault="00B711F0"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1F0" w:rsidRDefault="00B711F0" w:rsidP="00435E36">
      <w:pPr>
        <w:spacing w:after="0"/>
      </w:pPr>
      <w:r>
        <w:separator/>
      </w:r>
    </w:p>
  </w:footnote>
  <w:footnote w:type="continuationSeparator" w:id="0">
    <w:p w:rsidR="00B711F0" w:rsidRDefault="00B711F0"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0A489C"/>
    <w:rsid w:val="00185782"/>
    <w:rsid w:val="00217705"/>
    <w:rsid w:val="00235810"/>
    <w:rsid w:val="002E6080"/>
    <w:rsid w:val="00341799"/>
    <w:rsid w:val="00363E5B"/>
    <w:rsid w:val="003928FD"/>
    <w:rsid w:val="003C6E2E"/>
    <w:rsid w:val="00435E36"/>
    <w:rsid w:val="00466E69"/>
    <w:rsid w:val="004A385E"/>
    <w:rsid w:val="004F7CE6"/>
    <w:rsid w:val="005136BC"/>
    <w:rsid w:val="0059650D"/>
    <w:rsid w:val="005C03F3"/>
    <w:rsid w:val="005C448A"/>
    <w:rsid w:val="005D3160"/>
    <w:rsid w:val="005D4286"/>
    <w:rsid w:val="00687698"/>
    <w:rsid w:val="006926B1"/>
    <w:rsid w:val="0069398E"/>
    <w:rsid w:val="006A4BE4"/>
    <w:rsid w:val="006C1FBF"/>
    <w:rsid w:val="006F5E08"/>
    <w:rsid w:val="00757A9C"/>
    <w:rsid w:val="007769F1"/>
    <w:rsid w:val="00791BBD"/>
    <w:rsid w:val="00804FF1"/>
    <w:rsid w:val="00857F8A"/>
    <w:rsid w:val="008B656B"/>
    <w:rsid w:val="009647E7"/>
    <w:rsid w:val="00981095"/>
    <w:rsid w:val="00993E05"/>
    <w:rsid w:val="00AB083D"/>
    <w:rsid w:val="00AB0882"/>
    <w:rsid w:val="00B04F0E"/>
    <w:rsid w:val="00B6630D"/>
    <w:rsid w:val="00B711F0"/>
    <w:rsid w:val="00BA12C4"/>
    <w:rsid w:val="00C24CC8"/>
    <w:rsid w:val="00C5577E"/>
    <w:rsid w:val="00C66F49"/>
    <w:rsid w:val="00CC572E"/>
    <w:rsid w:val="00E25498"/>
    <w:rsid w:val="00E41667"/>
    <w:rsid w:val="00ED2669"/>
    <w:rsid w:val="00ED3652"/>
    <w:rsid w:val="00EE45E8"/>
    <w:rsid w:val="00F273B5"/>
    <w:rsid w:val="00F93FE6"/>
    <w:rsid w:val="00FC7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30</cp:revision>
  <dcterms:created xsi:type="dcterms:W3CDTF">2017-09-13T08:03:00Z</dcterms:created>
  <dcterms:modified xsi:type="dcterms:W3CDTF">2017-10-12T06:26:00Z</dcterms:modified>
</cp:coreProperties>
</file>