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center"/>
        <w:rPr>
          <w:rFonts w:hint="eastAsia" w:ascii="Times New Roman" w:hAnsi="Times New Roman" w:eastAsia="仿宋"/>
          <w:sz w:val="24"/>
          <w:lang w:val="en-US" w:eastAsia="zh-CN"/>
        </w:rPr>
      </w:pPr>
      <w:r>
        <w:rPr>
          <w:rFonts w:hint="eastAsia" w:ascii="Times New Roman" w:hAnsi="Times New Roman" w:eastAsia="仿宋"/>
          <w:sz w:val="24"/>
          <w:lang w:val="en-US" w:eastAsia="zh-CN"/>
        </w:rPr>
        <w:t>教务管理平台需求和标书基本要求</w:t>
      </w:r>
    </w:p>
    <w:p>
      <w:pPr>
        <w:spacing w:line="360" w:lineRule="auto"/>
        <w:ind w:firstLine="480" w:firstLineChars="200"/>
        <w:rPr>
          <w:rFonts w:hint="eastAsia" w:ascii="Times New Roman" w:hAnsi="Times New Roman" w:eastAsia="仿宋"/>
          <w:sz w:val="24"/>
        </w:rPr>
      </w:pPr>
    </w:p>
    <w:p>
      <w:pPr>
        <w:numPr>
          <w:ilvl w:val="0"/>
          <w:numId w:val="1"/>
        </w:numPr>
        <w:spacing w:line="360" w:lineRule="auto"/>
        <w:ind w:firstLine="480" w:firstLineChars="200"/>
        <w:rPr>
          <w:rFonts w:hint="eastAsia" w:ascii="Times New Roman" w:hAnsi="Times New Roman" w:eastAsia="仿宋"/>
          <w:sz w:val="24"/>
          <w:lang w:eastAsia="zh-CN"/>
        </w:rPr>
      </w:pPr>
      <w:r>
        <w:rPr>
          <w:rFonts w:hint="eastAsia" w:ascii="Times New Roman" w:hAnsi="Times New Roman" w:eastAsia="仿宋"/>
          <w:sz w:val="24"/>
          <w:lang w:eastAsia="zh-CN"/>
        </w:rPr>
        <w:t>平台基本指标</w:t>
      </w:r>
    </w:p>
    <w:p>
      <w:pPr>
        <w:numPr>
          <w:ilvl w:val="0"/>
          <w:numId w:val="0"/>
        </w:numPr>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lang w:eastAsia="zh-CN"/>
        </w:rPr>
        <w:t>我</w:t>
      </w:r>
      <w:r>
        <w:rPr>
          <w:rFonts w:hint="eastAsia" w:ascii="Times New Roman" w:hAnsi="Times New Roman" w:eastAsia="仿宋"/>
          <w:sz w:val="24"/>
        </w:rPr>
        <w:t xml:space="preserve">校综合教务管理平台的建设原则坚持“先进性、实用性、开放性、标准化、可靠性、稳定性、灵活性、扩展性、易升级性、安全性、保密性、易维护性、可管理性、界面友好等”。 </w:t>
      </w:r>
    </w:p>
    <w:p>
      <w:pPr>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 xml:space="preserve">实用性和可行性：主要技术和产品必须具有成熟、稳定、实用的特点，实用性放在首位，既要便于用户使用，又要便于系统管理。 </w:t>
      </w:r>
    </w:p>
    <w:p>
      <w:pPr>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 xml:space="preserve">先进性和成熟性：系统设计既要采用超前的思路，先进技术和系统工程方法，又要注意思维的合理性，技术的可行性，方法的正确性。不但能反映当今的先进技术和理念，而且具有发展潜力，能保证未来若干年内占主导地位。 </w:t>
      </w:r>
    </w:p>
    <w:p>
      <w:pPr>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 xml:space="preserve">开放性与标准化原则：应用平台应是一个开放的且符合业界主流技术标准的系统平台，并使网络的硬件环境，通信环境，软件环境，缩小操作平台之间的相互依赖程度。 </w:t>
      </w:r>
    </w:p>
    <w:p>
      <w:pPr>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 xml:space="preserve">可靠性和稳定性：在考虑技术先进性和开放性的同时，也从系统结构、技术措施、系统管理等方面着手，确保系统运行的可靠性和稳定性，达到最大的平均无故障时间。并提供事务监控手段和有效运行日志管理功能。同时提供可靠的数据远程备份功能（自动）。具备有良好的运行保障体系、完整的存储、多元化的备份手段和先进的故障恢复手段，以确保系统的稳定性。 </w:t>
      </w:r>
    </w:p>
    <w:p>
      <w:pPr>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 xml:space="preserve">可扩充性及易升级性：为适应应用不断拓展的需要，教务管理系统的软硬件环境具备良好的可扩充性。系统设计充分考虑未来发展需求，允许用户自定义系统结构，可进行数据字典等内容的灵活调整和扩展。数据统计查询可自定义计算公式或函数，实现复合查询；报表输出可自定义报表格式和查询公式，能够按需求生成报表。系统能够按字典标准和管理要求对数据进行自动校验。 </w:t>
      </w:r>
    </w:p>
    <w:p>
      <w:pPr>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 xml:space="preserve">界面友好：用户所有的业务处理和操作都在可视化界面完成，不需要到后台进行操作，避免系统对人的依赖，也可以更好更合理的分散管理用户的权限，打破系统管理的局限性和安全性瓶颈。用户可以像操作 Windows 一样轻松的的操作教务管理系统，操作流程清晰简洁，用户界面美观大方，符合用户操作习惯。用户操作上手快，界面友好，操作简单。 </w:t>
      </w:r>
    </w:p>
    <w:p>
      <w:pPr>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 xml:space="preserve">安全性和保密性：应用平台设计中，即要充分考虑信息资源的共享，更要注意信息资源的保护和隔离，应分别针对不同的应用和不同的网络通信环境，采取不同的措施，包括系统安全机制、数据存取的权限控制等。系统设计必须考虑整体的安全性，从数据访问操作、用户认证、数据加密、系统安全等多个方面对体系结构进行安全性设计。在系统设计中，既实现信息资源的充分共享，更要注意信息的保护和隔离，因此系统要分别针对不同的应用和环境，采取不同的措施，包括系统安全机制，数据存取权限控制和数据存储加密机制等。 </w:t>
      </w:r>
    </w:p>
    <w:p>
      <w:pPr>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可管理性和可维护性：整个教务系统是由多个业务功能部分组成的复杂系统，系统设计时充分考虑了可管理性和可维护性的要求，提供便捷的系统日常运行维护和管理功能，可以监测系统的运行状况，减轻系统维护的工作量。系统利用工作流原理来管理和控制教学管理过程中的具体业务流程，可方便快捷的完成教学管理过程中所需的工作流程订制，做到随需应变。</w:t>
      </w:r>
    </w:p>
    <w:p>
      <w:pPr>
        <w:spacing w:line="360" w:lineRule="auto"/>
        <w:ind w:firstLine="480" w:firstLineChars="200"/>
        <w:rPr>
          <w:rFonts w:hint="eastAsia" w:ascii="Times New Roman" w:hAnsi="Times New Roman" w:eastAsia="仿宋"/>
          <w:sz w:val="24"/>
          <w:lang w:eastAsia="zh-CN"/>
        </w:rPr>
      </w:pPr>
      <w:r>
        <w:rPr>
          <w:rFonts w:hint="eastAsia" w:ascii="Times New Roman" w:hAnsi="Times New Roman" w:eastAsia="仿宋"/>
          <w:sz w:val="24"/>
          <w:lang w:eastAsia="zh-CN"/>
        </w:rPr>
        <w:t>二、平台详细需求</w:t>
      </w:r>
    </w:p>
    <w:p>
      <w:pPr>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lang w:val="en-US" w:eastAsia="zh-CN"/>
        </w:rPr>
        <w:t>1、</w:t>
      </w:r>
      <w:r>
        <w:rPr>
          <w:rFonts w:hint="eastAsia" w:ascii="Times New Roman" w:hAnsi="Times New Roman" w:eastAsia="仿宋"/>
          <w:sz w:val="24"/>
        </w:rPr>
        <w:t>综合教务管理平台的建设，根据“统一标准”的原则，严格遵循计算机软件行业的各项国家标准、</w:t>
      </w:r>
      <w:r>
        <w:rPr>
          <w:rFonts w:hint="eastAsia" w:ascii="Times New Roman" w:hAnsi="Times New Roman" w:eastAsia="仿宋"/>
          <w:b/>
          <w:bCs/>
          <w:sz w:val="24"/>
        </w:rPr>
        <w:t>教育部颁布的《教育管理信息化标准》</w:t>
      </w:r>
      <w:r>
        <w:rPr>
          <w:rFonts w:hint="eastAsia" w:ascii="Times New Roman" w:hAnsi="Times New Roman" w:eastAsia="仿宋"/>
          <w:sz w:val="24"/>
        </w:rPr>
        <w:t xml:space="preserve">，同时参考相关的行业标准和规范，兼顾校内的自定义标准，使制定的标准具有良好的兼容性；在建设过程中根据学校的具体情况和实际需求，建立一套科学、实用、完善的应用系统管理规范与教学数据标准。 </w:t>
      </w:r>
    </w:p>
    <w:p>
      <w:pPr>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lang w:val="en-US" w:eastAsia="zh-CN"/>
        </w:rPr>
        <w:t>2、</w:t>
      </w:r>
      <w:r>
        <w:rPr>
          <w:rFonts w:hint="eastAsia" w:ascii="Times New Roman" w:hAnsi="Times New Roman" w:eastAsia="仿宋"/>
          <w:sz w:val="24"/>
        </w:rPr>
        <w:t>综合教务管理平台建设充分考虑在学校已有数字化校园平台基础上做整体规划、设计，</w:t>
      </w:r>
      <w:r>
        <w:rPr>
          <w:rFonts w:hint="eastAsia" w:ascii="Times New Roman" w:hAnsi="Times New Roman" w:eastAsia="仿宋"/>
          <w:sz w:val="24"/>
          <w:lang w:eastAsia="zh-CN"/>
        </w:rPr>
        <w:t>应当开放接口，</w:t>
      </w:r>
      <w:r>
        <w:rPr>
          <w:rFonts w:hint="eastAsia" w:ascii="Times New Roman" w:hAnsi="Times New Roman" w:eastAsia="仿宋"/>
          <w:sz w:val="24"/>
        </w:rPr>
        <w:t xml:space="preserve">符合学校现有数字化校园相关协议、标准，以方便后续与数字化校园平台对接。考虑到广大师生用户的使用习惯及操作的便捷性，系统设计采用桌面式界面风格，操作简单、容易上手。 </w:t>
      </w:r>
    </w:p>
    <w:p>
      <w:pPr>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lang w:val="en-US" w:eastAsia="zh-CN"/>
        </w:rPr>
        <w:t>3、</w:t>
      </w:r>
      <w:r>
        <w:rPr>
          <w:rFonts w:hint="eastAsia" w:ascii="Times New Roman" w:hAnsi="Times New Roman" w:eastAsia="仿宋"/>
          <w:sz w:val="24"/>
        </w:rPr>
        <w:t xml:space="preserve">系统的开发和设计符合当前教育、IT 行业的发展趋势，采用成熟、先进、稳定和规范的技术，架构科学合理，以确保系统具有顽强的生命力和扩展性。系统内部实现了工作流管理，用户可以自定义日常教学管理流程；支持中间件技术，提高系统的可维护性和软件代码的重用性；采用基于面向对象的组件开发技术，构建可重用的业务模块组件，利用这些组件能快速响应教学管理业务变更，修改或搭建新应用和新功能。 </w:t>
      </w:r>
    </w:p>
    <w:p>
      <w:pPr>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lang w:val="en-US" w:eastAsia="zh-CN"/>
        </w:rPr>
        <w:t>4、</w:t>
      </w:r>
      <w:r>
        <w:rPr>
          <w:rFonts w:hint="eastAsia" w:ascii="Times New Roman" w:hAnsi="Times New Roman" w:eastAsia="仿宋"/>
          <w:sz w:val="24"/>
        </w:rPr>
        <w:t>综合教务管理平台作为教学业务数据的生产者和消费者，不仅要满足教务管理部门内部业务的需求，还为全面接入数字校园而满足相关的集成性要求。综合教务管理平台可实现与学校数字化校园平台的统一认证、统一门户、统一数据的集成，在个性化门户上进行功能聚合和集中展现。系统预留统一的公共基础代码，以实现与其他应用系统数据的可交互和可理解，方便与学校数据交换平台进行数据交换。</w:t>
      </w:r>
    </w:p>
    <w:p>
      <w:pPr>
        <w:spacing w:line="360" w:lineRule="auto"/>
        <w:ind w:firstLine="480" w:firstLineChars="200"/>
        <w:rPr>
          <w:rFonts w:hint="eastAsia" w:ascii="Times New Roman" w:hAnsi="Times New Roman" w:eastAsia="仿宋"/>
          <w:sz w:val="24"/>
          <w:lang w:eastAsia="zh-CN"/>
        </w:rPr>
      </w:pPr>
      <w:r>
        <w:rPr>
          <w:rFonts w:hint="eastAsia" w:ascii="Times New Roman" w:hAnsi="Times New Roman" w:eastAsia="仿宋"/>
          <w:sz w:val="24"/>
          <w:lang w:eastAsia="zh-CN"/>
        </w:rPr>
        <w:t>三、售后要求</w:t>
      </w:r>
    </w:p>
    <w:p>
      <w:pPr>
        <w:spacing w:line="420" w:lineRule="exact"/>
        <w:ind w:firstLine="480" w:firstLineChars="200"/>
        <w:rPr>
          <w:rFonts w:hint="eastAsia" w:ascii="Times New Roman" w:hAnsi="Times New Roman" w:eastAsia="仿宋"/>
          <w:sz w:val="24"/>
          <w:lang w:val="en-US" w:eastAsia="zh-CN"/>
        </w:rPr>
      </w:pPr>
      <w:r>
        <w:rPr>
          <w:rFonts w:hint="eastAsia" w:ascii="Times New Roman" w:hAnsi="Times New Roman" w:eastAsia="仿宋"/>
          <w:sz w:val="24"/>
          <w:lang w:eastAsia="zh-CN"/>
        </w:rPr>
        <w:t>平台建设完成后第一年应当根据我院教务工作的需求，可随时进行更新升级处理，提供</w:t>
      </w:r>
      <w:r>
        <w:rPr>
          <w:rFonts w:hint="eastAsia" w:ascii="Times New Roman" w:hAnsi="Times New Roman" w:eastAsia="仿宋"/>
          <w:sz w:val="24"/>
          <w:lang w:val="en-US" w:eastAsia="zh-CN"/>
        </w:rPr>
        <w:t>24小时响应服务。</w:t>
      </w:r>
      <w:r>
        <w:rPr>
          <w:rFonts w:hint="eastAsia" w:ascii="仿宋" w:hAnsi="仿宋" w:eastAsia="仿宋" w:cs="仿宋"/>
          <w:sz w:val="24"/>
          <w:szCs w:val="24"/>
        </w:rPr>
        <w:t>自</w:t>
      </w:r>
      <w:r>
        <w:rPr>
          <w:rFonts w:hint="eastAsia" w:ascii="仿宋" w:hAnsi="仿宋" w:eastAsia="仿宋" w:cs="仿宋"/>
          <w:sz w:val="24"/>
          <w:szCs w:val="24"/>
          <w:lang w:eastAsia="zh-CN"/>
        </w:rPr>
        <w:t>平台</w:t>
      </w:r>
      <w:r>
        <w:rPr>
          <w:rFonts w:hint="eastAsia" w:ascii="仿宋" w:hAnsi="仿宋" w:eastAsia="仿宋" w:cs="仿宋"/>
          <w:sz w:val="24"/>
          <w:szCs w:val="24"/>
        </w:rPr>
        <w:t>交付之日起一年内，</w:t>
      </w:r>
      <w:r>
        <w:rPr>
          <w:rFonts w:hint="eastAsia" w:ascii="仿宋" w:hAnsi="仿宋" w:eastAsia="仿宋" w:cs="仿宋"/>
          <w:sz w:val="24"/>
          <w:szCs w:val="24"/>
          <w:lang w:eastAsia="zh-CN"/>
        </w:rPr>
        <w:t>平台</w:t>
      </w:r>
      <w:r>
        <w:rPr>
          <w:rFonts w:hint="eastAsia" w:ascii="仿宋" w:hAnsi="仿宋" w:eastAsia="仿宋" w:cs="仿宋"/>
          <w:sz w:val="24"/>
          <w:szCs w:val="24"/>
        </w:rPr>
        <w:t>的载体（磁盘或光盘）、加密附件（如有）出现非人为的物理损坏，</w:t>
      </w:r>
      <w:r>
        <w:rPr>
          <w:rFonts w:hint="eastAsia" w:ascii="仿宋" w:hAnsi="仿宋" w:eastAsia="仿宋" w:cs="仿宋"/>
          <w:sz w:val="24"/>
          <w:szCs w:val="24"/>
          <w:lang w:eastAsia="zh-CN"/>
        </w:rPr>
        <w:t>中标单位应</w:t>
      </w:r>
      <w:r>
        <w:rPr>
          <w:rFonts w:hint="eastAsia" w:ascii="仿宋" w:hAnsi="仿宋" w:eastAsia="仿宋" w:cs="仿宋"/>
          <w:sz w:val="24"/>
          <w:szCs w:val="24"/>
        </w:rPr>
        <w:t>给予免费修正或更换。</w:t>
      </w:r>
      <w:r>
        <w:rPr>
          <w:rFonts w:hint="eastAsia" w:ascii="仿宋" w:hAnsi="仿宋" w:eastAsia="仿宋" w:cs="仿宋"/>
          <w:sz w:val="24"/>
          <w:szCs w:val="24"/>
          <w:lang w:eastAsia="zh-CN"/>
        </w:rPr>
        <w:t>最低</w:t>
      </w:r>
      <w:r>
        <w:rPr>
          <w:rFonts w:hint="eastAsia" w:ascii="仿宋" w:hAnsi="仿宋" w:eastAsia="仿宋" w:cs="仿宋"/>
          <w:sz w:val="24"/>
          <w:szCs w:val="24"/>
          <w:lang w:val="en-US" w:eastAsia="zh-CN"/>
        </w:rPr>
        <w:t>5年的免费维护期间。</w:t>
      </w:r>
      <w:bookmarkStart w:id="0" w:name="_GoBack"/>
      <w:bookmarkEnd w:id="0"/>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投标方应当确保所提供的</w:t>
      </w:r>
      <w:r>
        <w:rPr>
          <w:rFonts w:hint="eastAsia" w:ascii="仿宋" w:hAnsi="仿宋" w:eastAsia="仿宋" w:cs="仿宋"/>
          <w:sz w:val="24"/>
          <w:szCs w:val="24"/>
        </w:rPr>
        <w:t>软件</w:t>
      </w:r>
      <w:r>
        <w:rPr>
          <w:rFonts w:hint="eastAsia" w:ascii="仿宋" w:hAnsi="仿宋" w:eastAsia="仿宋" w:cs="仿宋"/>
          <w:sz w:val="24"/>
          <w:szCs w:val="24"/>
          <w:lang w:eastAsia="zh-CN"/>
        </w:rPr>
        <w:t>产品</w:t>
      </w:r>
      <w:r>
        <w:rPr>
          <w:rFonts w:hint="eastAsia" w:ascii="仿宋" w:hAnsi="仿宋" w:eastAsia="仿宋" w:cs="仿宋"/>
          <w:sz w:val="24"/>
          <w:szCs w:val="24"/>
        </w:rPr>
        <w:t>以及任何补丁、程序、代码、解决方案及文档信息的著作权均归</w:t>
      </w:r>
      <w:r>
        <w:rPr>
          <w:rFonts w:hint="eastAsia" w:ascii="仿宋" w:hAnsi="仿宋" w:eastAsia="仿宋" w:cs="仿宋"/>
          <w:sz w:val="24"/>
          <w:szCs w:val="24"/>
          <w:lang w:eastAsia="zh-CN"/>
        </w:rPr>
        <w:t>其所有</w:t>
      </w:r>
      <w:r>
        <w:rPr>
          <w:rFonts w:hint="eastAsia" w:ascii="仿宋" w:hAnsi="仿宋" w:eastAsia="仿宋" w:cs="仿宋"/>
          <w:sz w:val="24"/>
          <w:szCs w:val="24"/>
        </w:rPr>
        <w:t>。</w:t>
      </w:r>
    </w:p>
    <w:p>
      <w:pPr>
        <w:numPr>
          <w:ilvl w:val="0"/>
          <w:numId w:val="2"/>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b w:val="0"/>
          <w:i w:val="0"/>
          <w:caps w:val="0"/>
          <w:color w:val="333333"/>
          <w:spacing w:val="0"/>
          <w:sz w:val="24"/>
          <w:szCs w:val="24"/>
          <w:shd w:val="clear" w:fill="FFFFFF"/>
          <w:lang w:eastAsia="zh-CN"/>
        </w:rPr>
        <w:t>标书主要内容要求</w:t>
      </w:r>
    </w:p>
    <w:p>
      <w:pPr>
        <w:numPr>
          <w:ilvl w:val="0"/>
          <w:numId w:val="0"/>
        </w:numPr>
        <w:spacing w:line="360" w:lineRule="auto"/>
        <w:ind w:firstLine="480" w:firstLineChars="200"/>
        <w:rPr>
          <w:rFonts w:hint="eastAsia" w:ascii="仿宋" w:hAnsi="仿宋" w:eastAsia="仿宋" w:cs="仿宋"/>
          <w:b w:val="0"/>
          <w:i w:val="0"/>
          <w:caps w:val="0"/>
          <w:color w:val="333333"/>
          <w:spacing w:val="0"/>
          <w:sz w:val="24"/>
          <w:szCs w:val="24"/>
          <w:shd w:val="clear" w:fill="FFFFFF"/>
          <w:lang w:eastAsia="zh-CN"/>
        </w:rPr>
      </w:pPr>
      <w:r>
        <w:rPr>
          <w:rFonts w:hint="eastAsia" w:ascii="仿宋" w:hAnsi="仿宋" w:eastAsia="仿宋" w:cs="仿宋"/>
          <w:b w:val="0"/>
          <w:i w:val="0"/>
          <w:caps w:val="0"/>
          <w:color w:val="333333"/>
          <w:spacing w:val="0"/>
          <w:sz w:val="24"/>
          <w:szCs w:val="24"/>
          <w:shd w:val="clear" w:fill="FFFFFF"/>
          <w:lang w:eastAsia="zh-CN"/>
        </w:rPr>
        <w:t>标书应当</w:t>
      </w:r>
      <w:r>
        <w:rPr>
          <w:rFonts w:hint="eastAsia" w:ascii="仿宋" w:hAnsi="仿宋" w:eastAsia="仿宋" w:cs="仿宋"/>
          <w:b w:val="0"/>
          <w:i w:val="0"/>
          <w:caps w:val="0"/>
          <w:color w:val="333333"/>
          <w:spacing w:val="0"/>
          <w:sz w:val="24"/>
          <w:szCs w:val="24"/>
          <w:shd w:val="clear" w:fill="FFFFFF"/>
        </w:rPr>
        <w:t>包括</w:t>
      </w:r>
      <w:r>
        <w:rPr>
          <w:rFonts w:hint="eastAsia" w:ascii="仿宋" w:hAnsi="仿宋" w:eastAsia="仿宋" w:cs="仿宋"/>
          <w:b w:val="0"/>
          <w:i w:val="0"/>
          <w:caps w:val="0"/>
          <w:color w:val="333333"/>
          <w:spacing w:val="0"/>
          <w:sz w:val="24"/>
          <w:szCs w:val="24"/>
          <w:shd w:val="clear" w:fill="FFFFFF"/>
          <w:lang w:eastAsia="zh-CN"/>
        </w:rPr>
        <w:t>但不限于如下信息：公司基本资料和联系信息、</w:t>
      </w:r>
      <w:r>
        <w:rPr>
          <w:rFonts w:hint="eastAsia" w:ascii="仿宋" w:hAnsi="仿宋" w:eastAsia="仿宋" w:cs="仿宋"/>
          <w:b w:val="0"/>
          <w:i w:val="0"/>
          <w:caps w:val="0"/>
          <w:color w:val="333333"/>
          <w:spacing w:val="0"/>
          <w:sz w:val="24"/>
          <w:szCs w:val="24"/>
          <w:shd w:val="clear" w:fill="FFFFFF"/>
        </w:rPr>
        <w:t>公司营运资质、授权资格、信用资质材料、业绩情况和投标报价</w:t>
      </w:r>
      <w:r>
        <w:rPr>
          <w:rFonts w:hint="eastAsia" w:ascii="仿宋" w:hAnsi="仿宋" w:eastAsia="仿宋" w:cs="仿宋"/>
          <w:b w:val="0"/>
          <w:i w:val="0"/>
          <w:caps w:val="0"/>
          <w:color w:val="333333"/>
          <w:spacing w:val="0"/>
          <w:sz w:val="24"/>
          <w:szCs w:val="24"/>
          <w:shd w:val="clear" w:fill="FFFFFF"/>
          <w:lang w:eastAsia="zh-CN"/>
        </w:rPr>
        <w:t>、</w:t>
      </w:r>
      <w:r>
        <w:rPr>
          <w:rFonts w:hint="eastAsia" w:ascii="仿宋" w:hAnsi="仿宋" w:eastAsia="仿宋" w:cs="仿宋"/>
          <w:b w:val="0"/>
          <w:i w:val="0"/>
          <w:caps w:val="0"/>
          <w:color w:val="333333"/>
          <w:spacing w:val="0"/>
          <w:sz w:val="24"/>
          <w:szCs w:val="24"/>
          <w:shd w:val="clear" w:fill="FFFFFF"/>
        </w:rPr>
        <w:t>投标产品的性能、技术参数，检验报告</w:t>
      </w:r>
      <w:r>
        <w:rPr>
          <w:rFonts w:hint="eastAsia" w:ascii="仿宋" w:hAnsi="仿宋" w:eastAsia="仿宋" w:cs="仿宋"/>
          <w:b w:val="0"/>
          <w:i w:val="0"/>
          <w:caps w:val="0"/>
          <w:color w:val="333333"/>
          <w:spacing w:val="0"/>
          <w:sz w:val="24"/>
          <w:szCs w:val="24"/>
          <w:shd w:val="clear" w:fill="FFFFFF"/>
          <w:lang w:eastAsia="zh-CN"/>
        </w:rPr>
        <w:t>、售后服务承诺等</w:t>
      </w:r>
      <w:r>
        <w:rPr>
          <w:rFonts w:hint="eastAsia" w:ascii="仿宋" w:hAnsi="仿宋" w:eastAsia="仿宋" w:cs="仿宋"/>
          <w:b w:val="0"/>
          <w:i w:val="0"/>
          <w:caps w:val="0"/>
          <w:color w:val="333333"/>
          <w:spacing w:val="0"/>
          <w:sz w:val="24"/>
          <w:szCs w:val="24"/>
          <w:shd w:val="clear" w:fill="FFFFFF"/>
        </w:rPr>
        <w:t>部分</w:t>
      </w:r>
      <w:r>
        <w:rPr>
          <w:rFonts w:hint="eastAsia" w:ascii="仿宋" w:hAnsi="仿宋" w:eastAsia="仿宋" w:cs="仿宋"/>
          <w:b w:val="0"/>
          <w:i w:val="0"/>
          <w:caps w:val="0"/>
          <w:color w:val="333333"/>
          <w:spacing w:val="0"/>
          <w:sz w:val="24"/>
          <w:szCs w:val="24"/>
          <w:shd w:val="clear" w:fill="FFFFFF"/>
          <w:lang w:eastAsia="zh-CN"/>
        </w:rPr>
        <w:t>。</w:t>
      </w:r>
    </w:p>
    <w:p>
      <w:pPr>
        <w:keepNext w:val="0"/>
        <w:keepLines w:val="0"/>
        <w:widowControl/>
        <w:suppressLineNumbers w:val="0"/>
        <w:shd w:val="clear" w:fill="FFFFFF"/>
        <w:spacing w:after="225" w:afterAutospacing="0" w:line="360" w:lineRule="atLeast"/>
        <w:ind w:left="0" w:firstLine="420"/>
        <w:jc w:val="left"/>
        <w:rPr>
          <w:rFonts w:hint="eastAsia" w:ascii="仿宋" w:hAnsi="仿宋" w:eastAsia="仿宋" w:cs="仿宋"/>
          <w:b w:val="0"/>
          <w:i w:val="0"/>
          <w:caps w:val="0"/>
          <w:color w:val="333333"/>
          <w:spacing w:val="0"/>
          <w:sz w:val="24"/>
          <w:szCs w:val="24"/>
          <w:shd w:val="clear" w:fill="FFFFFF"/>
          <w:lang w:eastAsia="zh-CN"/>
        </w:rPr>
      </w:pPr>
      <w:r>
        <w:rPr>
          <w:rFonts w:hint="eastAsia" w:ascii="仿宋" w:hAnsi="仿宋" w:eastAsia="仿宋" w:cs="仿宋"/>
          <w:b w:val="0"/>
          <w:i w:val="0"/>
          <w:caps w:val="0"/>
          <w:color w:val="333333"/>
          <w:spacing w:val="0"/>
          <w:sz w:val="24"/>
          <w:szCs w:val="24"/>
          <w:shd w:val="clear" w:fill="FFFFFF"/>
          <w:lang w:eastAsia="zh-CN"/>
        </w:rPr>
        <w:t>标书内应分别提供如下表单</w:t>
      </w:r>
    </w:p>
    <w:p>
      <w:pPr>
        <w:keepNext w:val="0"/>
        <w:keepLines w:val="0"/>
        <w:widowControl/>
        <w:numPr>
          <w:ilvl w:val="0"/>
          <w:numId w:val="3"/>
        </w:numPr>
        <w:suppressLineNumbers w:val="0"/>
        <w:shd w:val="clear" w:fill="FFFFFF"/>
        <w:spacing w:after="225" w:afterAutospacing="0" w:line="360" w:lineRule="atLeast"/>
        <w:ind w:left="0" w:firstLine="420"/>
        <w:jc w:val="left"/>
        <w:rPr>
          <w:rFonts w:hint="eastAsia" w:ascii="仿宋" w:hAnsi="仿宋" w:eastAsia="仿宋" w:cs="仿宋"/>
          <w:b w:val="0"/>
          <w:i w:val="0"/>
          <w:caps w:val="0"/>
          <w:color w:val="333333"/>
          <w:spacing w:val="0"/>
          <w:kern w:val="0"/>
          <w:sz w:val="24"/>
          <w:szCs w:val="24"/>
          <w:shd w:val="clear" w:fill="FFFFFF"/>
          <w:lang w:val="en-US" w:eastAsia="zh-CN" w:bidi="ar"/>
        </w:rPr>
      </w:pPr>
      <w:r>
        <w:rPr>
          <w:rFonts w:hint="eastAsia" w:ascii="仿宋" w:hAnsi="仿宋" w:eastAsia="仿宋" w:cs="仿宋"/>
          <w:b w:val="0"/>
          <w:i w:val="0"/>
          <w:caps w:val="0"/>
          <w:color w:val="333333"/>
          <w:spacing w:val="0"/>
          <w:kern w:val="0"/>
          <w:sz w:val="24"/>
          <w:szCs w:val="24"/>
          <w:shd w:val="clear" w:fill="FFFFFF"/>
          <w:lang w:val="en-US" w:eastAsia="zh-CN" w:bidi="ar"/>
        </w:rPr>
        <w:t>竞标报价表。</w:t>
      </w:r>
    </w:p>
    <w:p>
      <w:pPr>
        <w:keepNext w:val="0"/>
        <w:keepLines w:val="0"/>
        <w:widowControl/>
        <w:numPr>
          <w:ilvl w:val="0"/>
          <w:numId w:val="3"/>
        </w:numPr>
        <w:suppressLineNumbers w:val="0"/>
        <w:shd w:val="clear" w:fill="FFFFFF"/>
        <w:spacing w:after="225" w:afterAutospacing="0" w:line="360" w:lineRule="atLeast"/>
        <w:ind w:left="0" w:firstLine="420"/>
        <w:jc w:val="left"/>
        <w:rPr>
          <w:rFonts w:hint="eastAsia" w:ascii="仿宋" w:hAnsi="仿宋" w:eastAsia="仿宋" w:cs="仿宋"/>
          <w:b w:val="0"/>
          <w:i w:val="0"/>
          <w:caps w:val="0"/>
          <w:color w:val="333333"/>
          <w:spacing w:val="0"/>
          <w:kern w:val="0"/>
          <w:sz w:val="24"/>
          <w:szCs w:val="24"/>
          <w:shd w:val="clear" w:fill="FFFFFF"/>
          <w:lang w:val="en-US" w:eastAsia="zh-CN" w:bidi="ar"/>
        </w:rPr>
      </w:pPr>
      <w:r>
        <w:rPr>
          <w:rFonts w:hint="eastAsia" w:ascii="仿宋" w:hAnsi="仿宋" w:eastAsia="仿宋" w:cs="仿宋"/>
          <w:b w:val="0"/>
          <w:i w:val="0"/>
          <w:caps w:val="0"/>
          <w:color w:val="333333"/>
          <w:spacing w:val="0"/>
          <w:kern w:val="0"/>
          <w:sz w:val="24"/>
          <w:szCs w:val="24"/>
          <w:shd w:val="clear" w:fill="FFFFFF"/>
          <w:lang w:val="en-US" w:eastAsia="zh-CN" w:bidi="ar"/>
        </w:rPr>
        <w:t>实施方案时间安排表。</w:t>
      </w:r>
    </w:p>
    <w:p>
      <w:pPr>
        <w:keepNext w:val="0"/>
        <w:keepLines w:val="0"/>
        <w:widowControl/>
        <w:suppressLineNumbers w:val="0"/>
        <w:shd w:val="clear" w:fill="FFFFFF"/>
        <w:spacing w:after="225" w:afterAutospacing="0" w:line="360" w:lineRule="atLeast"/>
        <w:ind w:left="0" w:firstLine="420"/>
        <w:jc w:val="left"/>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kern w:val="0"/>
          <w:sz w:val="24"/>
          <w:szCs w:val="24"/>
          <w:shd w:val="clear" w:fill="FFFFFF"/>
          <w:lang w:val="en-US" w:eastAsia="zh-CN" w:bidi="ar"/>
        </w:rPr>
        <w:t>3、售后服务承诺书。</w:t>
      </w:r>
    </w:p>
    <w:p>
      <w:pPr>
        <w:keepNext w:val="0"/>
        <w:keepLines w:val="0"/>
        <w:widowControl/>
        <w:suppressLineNumbers w:val="0"/>
        <w:shd w:val="clear" w:fill="FFFFFF"/>
        <w:spacing w:after="225" w:afterAutospacing="0" w:line="360" w:lineRule="atLeast"/>
        <w:ind w:left="0" w:firstLine="420"/>
        <w:jc w:val="left"/>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kern w:val="0"/>
          <w:sz w:val="24"/>
          <w:szCs w:val="24"/>
          <w:shd w:val="clear" w:fill="FFFFFF"/>
          <w:lang w:val="en-US" w:eastAsia="zh-CN" w:bidi="ar"/>
        </w:rPr>
        <w:t>4、资质证明文件和其他要求提交的全部文件清单。</w:t>
      </w:r>
    </w:p>
    <w:p>
      <w:pPr>
        <w:keepNext w:val="0"/>
        <w:keepLines w:val="0"/>
        <w:widowControl/>
        <w:suppressLineNumbers w:val="0"/>
        <w:shd w:val="clear" w:fill="FFFFFF"/>
        <w:spacing w:after="225" w:afterAutospacing="0" w:line="360" w:lineRule="atLeast"/>
        <w:ind w:left="0" w:firstLine="420"/>
        <w:jc w:val="left"/>
        <w:rPr>
          <w:rFonts w:hint="eastAsia" w:ascii="仿宋" w:hAnsi="仿宋" w:eastAsia="仿宋" w:cs="仿宋"/>
          <w:b w:val="0"/>
          <w:i w:val="0"/>
          <w:caps w:val="0"/>
          <w:color w:val="333333"/>
          <w:spacing w:val="0"/>
          <w:kern w:val="0"/>
          <w:sz w:val="24"/>
          <w:szCs w:val="24"/>
          <w:shd w:val="clear" w:fill="FFFFFF"/>
          <w:lang w:val="en-US" w:eastAsia="zh-CN" w:bidi="ar"/>
        </w:rPr>
      </w:pPr>
      <w:r>
        <w:rPr>
          <w:rFonts w:hint="eastAsia" w:ascii="仿宋" w:hAnsi="仿宋" w:eastAsia="仿宋" w:cs="仿宋"/>
          <w:b w:val="0"/>
          <w:i w:val="0"/>
          <w:caps w:val="0"/>
          <w:color w:val="333333"/>
          <w:spacing w:val="0"/>
          <w:kern w:val="0"/>
          <w:sz w:val="24"/>
          <w:szCs w:val="24"/>
          <w:shd w:val="clear" w:fill="FFFFFF"/>
          <w:lang w:val="en-US" w:eastAsia="zh-CN" w:bidi="ar"/>
        </w:rPr>
        <w:t>5、竞标人基本情况登记表。</w:t>
      </w:r>
    </w:p>
    <w:p>
      <w:pPr>
        <w:keepNext w:val="0"/>
        <w:keepLines w:val="0"/>
        <w:widowControl/>
        <w:suppressLineNumbers w:val="0"/>
        <w:shd w:val="clear" w:fill="FFFFFF"/>
        <w:spacing w:after="225" w:afterAutospacing="0" w:line="360" w:lineRule="atLeast"/>
        <w:ind w:left="0" w:firstLine="420"/>
        <w:jc w:val="left"/>
        <w:rPr>
          <w:rFonts w:hint="eastAsia" w:ascii="仿宋" w:hAnsi="仿宋" w:eastAsia="仿宋" w:cs="仿宋"/>
          <w:b w:val="0"/>
          <w:i w:val="0"/>
          <w:caps w:val="0"/>
          <w:color w:val="333333"/>
          <w:spacing w:val="0"/>
          <w:kern w:val="0"/>
          <w:sz w:val="24"/>
          <w:szCs w:val="24"/>
          <w:shd w:val="clear" w:fill="FFFFFF"/>
          <w:lang w:val="en-US" w:eastAsia="zh-CN" w:bidi="ar"/>
        </w:rPr>
      </w:pPr>
      <w:r>
        <w:rPr>
          <w:rFonts w:hint="eastAsia" w:ascii="仿宋" w:hAnsi="仿宋" w:eastAsia="仿宋" w:cs="仿宋"/>
          <w:b w:val="0"/>
          <w:i w:val="0"/>
          <w:caps w:val="0"/>
          <w:color w:val="333333"/>
          <w:spacing w:val="0"/>
          <w:kern w:val="0"/>
          <w:sz w:val="24"/>
          <w:szCs w:val="24"/>
          <w:shd w:val="clear" w:fill="FFFFFF"/>
          <w:lang w:val="en-US" w:eastAsia="zh-CN" w:bidi="ar"/>
        </w:rPr>
        <w:t>6、投标人员授权书。</w:t>
      </w:r>
    </w:p>
    <w:p>
      <w:pPr>
        <w:numPr>
          <w:ilvl w:val="0"/>
          <w:numId w:val="0"/>
        </w:numPr>
        <w:spacing w:line="360" w:lineRule="auto"/>
        <w:ind w:firstLine="480" w:firstLineChars="200"/>
        <w:rPr>
          <w:rFonts w:hint="eastAsia" w:ascii="仿宋" w:hAnsi="仿宋" w:eastAsia="仿宋" w:cs="仿宋"/>
          <w:b w:val="0"/>
          <w:i w:val="0"/>
          <w:caps w:val="0"/>
          <w:color w:val="333333"/>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FAF0D"/>
    <w:multiLevelType w:val="singleLevel"/>
    <w:tmpl w:val="F4FFAF0D"/>
    <w:lvl w:ilvl="0" w:tentative="0">
      <w:start w:val="1"/>
      <w:numFmt w:val="decimal"/>
      <w:suff w:val="nothing"/>
      <w:lvlText w:val="%1、"/>
      <w:lvlJc w:val="left"/>
    </w:lvl>
  </w:abstractNum>
  <w:abstractNum w:abstractNumId="1">
    <w:nsid w:val="10841544"/>
    <w:multiLevelType w:val="singleLevel"/>
    <w:tmpl w:val="10841544"/>
    <w:lvl w:ilvl="0" w:tentative="0">
      <w:start w:val="4"/>
      <w:numFmt w:val="chineseCounting"/>
      <w:suff w:val="nothing"/>
      <w:lvlText w:val="%1、"/>
      <w:lvlJc w:val="left"/>
      <w:rPr>
        <w:rFonts w:hint="eastAsia"/>
      </w:rPr>
    </w:lvl>
  </w:abstractNum>
  <w:abstractNum w:abstractNumId="2">
    <w:nsid w:val="6C1F8FF5"/>
    <w:multiLevelType w:val="singleLevel"/>
    <w:tmpl w:val="6C1F8FF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0030B"/>
    <w:rsid w:val="04776867"/>
    <w:rsid w:val="10EC41A3"/>
    <w:rsid w:val="11E87619"/>
    <w:rsid w:val="1CF253E3"/>
    <w:rsid w:val="2D4E28DE"/>
    <w:rsid w:val="349A6EFB"/>
    <w:rsid w:val="370E0DF1"/>
    <w:rsid w:val="455D76C6"/>
    <w:rsid w:val="485D1868"/>
    <w:rsid w:val="57CD62C5"/>
    <w:rsid w:val="58FA040B"/>
    <w:rsid w:val="5A926FBF"/>
    <w:rsid w:val="694472F4"/>
    <w:rsid w:val="6D535020"/>
    <w:rsid w:val="6E0F4F3F"/>
    <w:rsid w:val="750268C3"/>
    <w:rsid w:val="7BC0030B"/>
    <w:rsid w:val="7FB55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Indent 3"/>
    <w:basedOn w:val="1"/>
    <w:qFormat/>
    <w:uiPriority w:val="0"/>
    <w:pPr>
      <w:spacing w:after="120"/>
      <w:ind w:left="420" w:leftChars="200"/>
    </w:pPr>
    <w:rPr>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2018-07-23T03:28:00Z</dcterms:created>
  <dc:creator>Administrator</dc:creator>
  <cp:lastModifiedBy>Administrator</cp:lastModifiedBy>
  <dcterms:modified xsi:type="dcterms:W3CDTF">2018-07-23T12:03:03Z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